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QR-P007-2026Q1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极微半导体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项目编号：P007；行业：半导体；轮次：B轮；上海落地：仅口头计划落地上海。</w:t>
      </w:r>
    </w:p>
    <w:p>
      <w:pPr>
        <w:pStyle w:val="Heading2"/>
      </w:pPr>
      <w:r>
        <w:t>本季度核心进展</w:t>
      </w:r>
    </w:p>
    <w:p>
      <w:r>
        <w:t>未按期提交有效项目更新，仅发送简短邮件</w:t>
      </w:r>
    </w:p>
    <w:p>
      <w:r>
        <w:t>注意：本报告沿用上一季度旧数据。</w:t>
      </w:r>
    </w:p>
    <w:p>
      <w:pPr>
        <w:pStyle w:val="Heading2"/>
      </w:pPr>
      <w:r>
        <w:t>研发与产品进展</w:t>
      </w:r>
    </w:p>
    <w:p>
      <w:r>
        <w:t>核心技术：模拟芯片；核心产品：模拟芯片产品。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当前描述：B轮。需区分宣布融资、TS、正式协议、首次交割、全部交割、工商变更。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仅口头计划落地上海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