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QR-P008-2026Q1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灵枢机器人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项目编号：P008；行业：工业机器人；轮次：A轮；上海落地：上海总部和研发人员。</w:t>
      </w:r>
    </w:p>
    <w:p>
      <w:pPr>
        <w:pStyle w:val="Heading2"/>
      </w:pPr>
      <w:r>
        <w:t>本季度核心进展</w:t>
      </w:r>
    </w:p>
    <w:p>
      <w:r>
        <w:t>签署首个商业订单，确认收入520万元</w:t>
      </w:r>
    </w:p>
    <w:p>
      <w:pPr>
        <w:pStyle w:val="Heading2"/>
      </w:pPr>
      <w:r>
        <w:t>研发与产品进展</w:t>
      </w:r>
    </w:p>
    <w:p>
      <w:r>
        <w:t>核心技术：柔性装配机器人；核心产品：柔性装配机器人产品。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上海总部和研发人员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