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谱元生物2026Q1季度投后报告（增强版）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QR2-P009-2026Q1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P009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谱元生物</w:t>
            </w:r>
          </w:p>
        </w:tc>
      </w:tr>
      <w:tr>
        <w:tc>
          <w:tcPr>
            <w:tcW w:type="dxa" w:w="4320"/>
          </w:tcPr>
          <w:p>
            <w:r>
              <w:t>材料类型</w:t>
            </w:r>
          </w:p>
        </w:tc>
        <w:tc>
          <w:tcPr>
            <w:tcW w:type="dxa" w:w="4320"/>
          </w:tcPr>
          <w:p>
            <w:r>
              <w:t>季度投后报告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2026Q1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2026-04-23</w:t>
            </w:r>
          </w:p>
        </w:tc>
      </w:tr>
      <w:tr>
        <w:tc>
          <w:tcPr>
            <w:tcW w:type="dxa" w:w="4320"/>
          </w:tcPr>
          <w:p>
            <w:r>
              <w:t>版本</w:t>
            </w:r>
          </w:p>
        </w:tc>
        <w:tc>
          <w:tcPr>
            <w:tcW w:type="dxa" w:w="4320"/>
          </w:tcPr>
          <w:p>
            <w:r>
              <w:t>V2.0</w:t>
            </w:r>
          </w:p>
        </w:tc>
      </w:tr>
      <w:tr>
        <w:tc>
          <w:tcPr>
            <w:tcW w:type="dxa" w:w="4320"/>
          </w:tcPr>
          <w:p>
            <w:r>
              <w:t>形成方</w:t>
            </w:r>
          </w:p>
        </w:tc>
        <w:tc>
          <w:tcPr>
            <w:tcW w:type="dxa" w:w="4320"/>
          </w:tcPr>
          <w:p>
            <w:r>
              <w:t>企业管理层/财务部/研发部</w:t>
            </w:r>
          </w:p>
        </w:tc>
      </w:tr>
      <w:tr>
        <w:tc>
          <w:tcPr>
            <w:tcW w:type="dxa" w:w="4320"/>
          </w:tcPr>
          <w:p>
            <w:r>
              <w:t>审核状态</w:t>
            </w:r>
          </w:p>
        </w:tc>
        <w:tc>
          <w:tcPr>
            <w:tcW w:type="dxa" w:w="4320"/>
          </w:tcPr>
          <w:p>
            <w:r>
              <w:t>管理层审核，未经审计</w:t>
            </w:r>
          </w:p>
        </w:tc>
      </w:tr>
    </w:tbl>
    <w:p>
      <w:pPr>
        <w:pStyle w:val="Heading2"/>
      </w:pPr>
      <w:r>
        <w:t>一、报告期基本情况</w:t>
      </w:r>
    </w:p>
    <w:p>
      <w:r>
        <w:t>本报告由广州谱元合成生物有限公司投后联系人向GP和未来基金提供，报告期为2026Q1，材料日期为2026-04-23。报告采用企业管理口径，未经审计，收入、订单和人员数据与工商、审计、社保或交割文件可能存在统计时点差异。</w:t>
      </w:r>
    </w:p>
    <w:p>
      <w:r>
        <w:t>报告期内，公司围绕AI酶工程推进研发、客户验证和融资沟通。上期计划为：签署上海奉贤子公司设立协议。本期实际进展为：上海子公司注册但无社保明细；融资协议签署未交割。公司认为核心业务整体仍在计划轨道内，但若以协议履约和严格证据口径判断，部分事项仍需补充正式附件。</w:t>
      </w:r>
    </w:p>
    <w:p>
      <w:pPr>
        <w:pStyle w:val="Heading2"/>
      </w:pPr>
      <w:r>
        <w:t>二、公司经营概览</w:t>
      </w:r>
    </w:p>
    <w:p>
      <w:r>
        <w:t>截至2026-04-23，公司在手商机共9项，其中已签测试或PoC文件4项，正式订单2项；本期管理口径收入477万元，已开票金额343万元，现金回款276万元。公司现金余额约1820万元，按照当前月均现金支出146万元估算，可支撑12个月。</w:t>
      </w:r>
    </w:p>
    <w:p>
      <w:r>
        <w:t>客户侧，本期重点跟进长三角量子网络试验节点、张江高科园区和中科院上海高研院。其中一项为联合测试，一项为框架合作，一项仍处技术交流。不同客户对验收条件、数据接口和交付周期要求不同，不能简单等同为已形成收入。</w:t>
      </w:r>
    </w:p>
    <w:p>
      <w:pPr>
        <w:pStyle w:val="Heading2"/>
      </w:pPr>
      <w:r>
        <w:t>三、核心产品及技术进展</w:t>
      </w:r>
    </w:p>
    <w:p>
      <w:r>
        <w:t>公司核心产品围绕AI酶工程展开。本期研发团队完成需求评审5次、版本发布1次、内部测试用例190条，新增技术文档26份。关键研发工作包括算法/硬件/工艺参数优化、系统稳定性验证、客户环境适配和知识产权整理。</w:t>
      </w:r>
    </w:p>
    <w:p>
      <w:r>
        <w:t>研发过程方面，第1项记录来自谱元生物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2项记录来自谱元生物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3项记录来自谱元生物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4项记录来自谱元生物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5项记录来自谱元生物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pPr>
        <w:pStyle w:val="Heading2"/>
      </w:pPr>
      <w:r>
        <w:t>四、研发项目明细</w:t>
      </w:r>
    </w:p>
    <w:p>
      <w:r>
        <w:t>1. 主产品线：完成阶段性验收节点3个，尚有1个问题项未关闭。</w:t>
      </w:r>
    </w:p>
    <w:p>
      <w:r>
        <w:t>2. 工程化项目：供应商杭州云算力科技负责部分加工或测试，计划交付日期为2026-05-28。</w:t>
      </w:r>
    </w:p>
    <w:p>
      <w:r>
        <w:t>3. 数据与软件项目：新增样本或工况数据440组，其中约30%来自客户现场，仍需完成脱敏和授权确认。</w:t>
      </w:r>
    </w:p>
    <w:p>
      <w:r>
        <w:t>4. 知识产权：本期提交发明专利1件，授权或进入实审2件；如需用于专题筛选，应以专利受理通知或授权文件为准。</w:t>
      </w:r>
    </w:p>
    <w:p>
      <w:pPr>
        <w:pStyle w:val="Heading2"/>
      </w:pPr>
      <w:r>
        <w:t>五、关键里程碑进展</w:t>
      </w:r>
    </w:p>
    <w:p>
      <w:r>
        <w:t>上期列示的里程碑包括产品版本、客户测试、融资文件和上海落地材料。本期完成情况如下：第一，上海子公司注册但无社保明细；融资协议签署未交割；第二，客户侧已有长三角量子网络试验节点提供测试窗口，但正式验收报告尚未全部取得；第三，融资或政府资源对接仍需以正式文件确认；第四，上海相关事项按公司理解正在推进，但工商注册、租赁、社保、采购和实际经营需分开判断。</w:t>
      </w:r>
    </w:p>
    <w:p>
      <w:r>
        <w:t>下一里程碑计划为2026-06-22前关闭主要问题项，并在下一季度向股东提交附件包。</w:t>
      </w:r>
    </w:p>
    <w:p>
      <w:pPr>
        <w:pStyle w:val="Heading2"/>
      </w:pPr>
      <w:r>
        <w:t>六、客户及商业化进展</w:t>
      </w:r>
    </w:p>
    <w:p>
      <w:r>
        <w:t>本期客户推进并非全部等同于商业订单。长三角量子网络试验节点已完成技术交流并提供样品/测试环境，预计下一阶段签署PoC；张江高科园区要求补充安全、稳定性或合规材料；中科院上海高研院仅完成高层拜访。公司另与华东汽车电子厂保持沟通。</w:t>
      </w:r>
    </w:p>
    <w:p>
      <w:r>
        <w:t>订单方面，本期新增意向金额1431万元，已签合同金额667万元，满足收入确认条件的金额为477万元。部分合同包含验收、试运行或监管注册前置条件，因此新闻或路演口径中的“签约”不能直接等同于确认收入。</w:t>
      </w:r>
    </w:p>
    <w:p>
      <w:pPr>
        <w:pStyle w:val="Heading2"/>
      </w:pPr>
      <w:r>
        <w:t>七、订单、合同和收入情况</w:t>
      </w:r>
    </w:p>
    <w:p>
      <w:r>
        <w:t>本期收入采用管理口径，包含已验收收入、阶段性服务收入和少量未开票收入。已确认收入477万元，合同负债166万元，应收账款295万元，其中账龄超过90天的57万元。</w:t>
      </w:r>
    </w:p>
    <w:p>
      <w:r>
        <w:t>若以审计口径，部分项目需在最终验收后确认；若以现金口径，本期回款低于签约金额。该差异是后续财务核验的重要事项。</w:t>
      </w:r>
    </w:p>
    <w:p>
      <w:pPr>
        <w:pStyle w:val="Heading2"/>
      </w:pPr>
      <w:r>
        <w:t>八、融资进展</w:t>
      </w:r>
    </w:p>
    <w:p>
      <w:r>
        <w:t>公司本期仍按Pre-A轮对外沟通。管理层称潜在投资人已进入尽调，但是否构成正式融资节点，应以TS、投资协议、交割确认和工商变更为准。</w:t>
      </w:r>
    </w:p>
    <w:p>
      <w:r>
        <w:t>本期融资沟通材料包括路演PPT、潜在投资人问答和管理层访谈记录。公司确认不存在将已签TS、正式协议、首次交割和全部交割混同披露的主观意图，但不同材料形成目的不同，仍需要未来基金以正式交易文件为准。</w:t>
      </w:r>
    </w:p>
    <w:p>
      <w:pPr>
        <w:pStyle w:val="Heading2"/>
      </w:pPr>
      <w:r>
        <w:t>九、财务情况</w:t>
      </w:r>
    </w:p>
    <w:p>
      <w:r>
        <w:t>截至期末，公司累计收入1431万元，累计研发费用740万元，销售及市场费用180万元，管理费用190万元。人员薪酬为最大支出项，占经营性现金流出约44%；设备采购和外协测试占比约22%。</w:t>
      </w:r>
    </w:p>
    <w:p>
      <w:r>
        <w:t>公司本期预算收入537万元，实际完成率88.8%；预算研发支出640万元，实际支出740万元，偏差原因包括外协测试排期、客户现场适配和新增人员招聘。</w:t>
      </w:r>
    </w:p>
    <w:p>
      <w:pPr>
        <w:pStyle w:val="Heading2"/>
      </w:pPr>
      <w:r>
        <w:t>十、现金流与资金使用</w:t>
      </w:r>
    </w:p>
    <w:p>
      <w:r>
        <w:t>期初现金余额约2000万元，本期经营性现金流出250万元，投资性现金流出160万元，融资性流入1000万元。募集资金主要用于研发人员、样机设备、云算力或测试服务、客户现场支持和上海落地费用。</w:t>
      </w:r>
    </w:p>
    <w:p>
      <w:r>
        <w:t>公司承诺未将募集资金用于偿还股东借款或非经营性拆借，但资金台账尚需与银行流水抽样核对。</w:t>
      </w:r>
    </w:p>
    <w:p>
      <w:pPr>
        <w:pStyle w:val="Heading2"/>
      </w:pPr>
      <w:r>
        <w:t>十一、团队及关键人员变化</w:t>
      </w:r>
    </w:p>
    <w:p>
      <w:r>
        <w:t>期末员工总数45人，其中研发人员27人，销售及交付8人，职能人员9人。上海团队按企业统计为19人，但严格口径应查看劳动合同、社保缴纳、办公门禁或实际项目分工。</w:t>
      </w:r>
    </w:p>
    <w:p>
      <w:r>
        <w:t>本期核心团队总体稳定。若后续出现CTO、研发负责人、财务负责人等关键人员离职或长期缺席，公司应按协议在约定期限内书面通知投资方。</w:t>
      </w:r>
    </w:p>
    <w:p>
      <w:pPr>
        <w:pStyle w:val="Heading2"/>
      </w:pPr>
      <w:r>
        <w:t>十二、上海落地或返投情况</w:t>
      </w:r>
    </w:p>
    <w:p>
      <w:r>
        <w:t>公司当前上海相关状态：上海子公司工商注册但人员和试生产证明不足。企业口径下，上海事项包括工商登记、园区协议、办公租赁、人员入驻、采购付款和业务收入等多个层次。</w:t>
      </w:r>
    </w:p>
    <w:p>
      <w:r>
        <w:t>本期上海相关支出约110万元，主要为办公、测试、设备或服务采购。若材料仅为意向书或新闻报道，不能证明已经完成上海工商注册；若仅有营业执照，也不能证明团队实际入驻和业务开展。公司将在下季度补充社保、租赁发票、采购付款或工商摘录。</w:t>
      </w:r>
    </w:p>
    <w:p>
      <w:pPr>
        <w:pStyle w:val="Heading2"/>
      </w:pPr>
      <w:r>
        <w:t>十三、公司治理和重大事项</w:t>
      </w:r>
    </w:p>
    <w:p>
      <w:r>
        <w:t>报告期内，公司未召开临时股东会。董事会或经营例会主要讨论预算、融资、产品交付和客户排期。未来基金观察员已按约收到部分会议材料，但个别附件提交时间晚于会议通知。重大事项如新一轮融资启动、核心人员变化、关联交易和大额非预算支出，仍需按协议另行书面通知。</w:t>
      </w:r>
    </w:p>
    <w:p>
      <w:pPr>
        <w:pStyle w:val="Heading2"/>
      </w:pPr>
      <w:r>
        <w:t>十四、当前主要问题</w:t>
      </w:r>
    </w:p>
    <w:p>
      <w:r>
        <w:t>1. 客户验证周期与计划存在差异，部分验收报告需要客户法务或采购流程配合。</w:t>
      </w:r>
    </w:p>
    <w:p>
      <w:r>
        <w:t>2. 融资材料存在对外宣传口径与正式交易节点不完全一致的可能。</w:t>
      </w:r>
    </w:p>
    <w:p>
      <w:r>
        <w:t>3. 上海落地证明链尚不完整，需要区分注册、租赁、社保和实际经营。</w:t>
      </w:r>
    </w:p>
    <w:p>
      <w:r>
        <w:t>4. 财务数据存在管理口径、审计口径和现金口径差异。</w:t>
      </w:r>
    </w:p>
    <w:p>
      <w:r>
        <w:t>5. 本报告部分附件由企业内部整理，尚未经过外部审计或工商系统核验。</w:t>
      </w:r>
    </w:p>
    <w:p>
      <w:pPr>
        <w:pStyle w:val="Heading2"/>
      </w:pPr>
      <w:r>
        <w:t>十五、下一季度工作计划</w:t>
      </w:r>
    </w:p>
    <w:p>
      <w:r>
        <w:t>下一季度计划包括：完成AI酶工程产品版本迭代；推动长三角量子网络试验节点或张江高科园区形成正式验收；补充融资交割或工商变更材料；更新资金使用台账；提交上海人员、采购或租赁证明；召开一次投后专题会议。计划完成日期集中在2026-06-07至2026-07-12。</w:t>
      </w:r>
    </w:p>
    <w:p>
      <w:pPr>
        <w:pStyle w:val="Heading2"/>
      </w:pPr>
      <w:r>
        <w:t>十六、需要股东协调或支持的事项</w:t>
      </w:r>
    </w:p>
    <w:p>
      <w:r>
        <w:t>公司希望未来基金协助对接上海园区、潜在客户、检测机构、产业投资人和政策资源；同时请股东确认季度报告附件清单和协议履约证明口径。对于尚未形成正式证明的事项，公司将在收到投资经理书面清单后补充。</w:t>
      </w:r>
    </w:p>
    <w:p>
      <w:pPr>
        <w:pStyle w:val="Heading2"/>
      </w:pPr>
      <w:r>
        <w:t>十七、附表或数据附件</w:t>
      </w:r>
    </w:p>
    <w:p>
      <w:r>
        <w:t>附件清单：1. 研发项目表；2. 客户推进表；3. 资金使用台账；4. 人员结构表；5. 上海事项证明材料；6. 融资沟通材料。部分附件在本报告提交时仍由行政或财务部门整理，具体以单独文件为准。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