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GP2-P009-2026Q1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上期重点事项为签署上海奉贤子公司设立协议。本期新增信息为上海子公司注册但无社保明细；融资协议签署未交割。与企业自报材料相比，GP重点关注证明材料是否足以支撑结论，而非仅看管理层表述。</w:t>
      </w:r>
    </w:p>
    <w:p>
      <w:r>
        <w:t>GP核验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Science；融资协议未全额交割；返投金额口径冲突。GP建议将融资节点、上海落地、关键人员、收入确认和协议履约材料分开追踪，避免用单一积极表述覆盖多个法律或管理口径。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3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4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6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7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8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对于谱元生物，本期需持续关注：AI for Science；融资协议未全额交割；返投金额口径冲突。GP建议发出书面问询，要求企业按字段提供证明，包括材料名称、形成日期、是否盖章、是否外部公开、是否可与其他来源交叉验证。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10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