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QR-P010-2026Q1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棱镜医疗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项目编号：P010；行业：医疗器械；轮次：A轮；上海落地：未在上海落地。</w:t>
      </w:r>
    </w:p>
    <w:p>
      <w:pPr>
        <w:pStyle w:val="Heading2"/>
      </w:pPr>
      <w:r>
        <w:t>本季度核心进展</w:t>
      </w:r>
    </w:p>
    <w:p>
      <w:r>
        <w:t>客户验证未按原计划完成，缺少第三方检测附件</w:t>
      </w:r>
    </w:p>
    <w:p>
      <w:pPr>
        <w:pStyle w:val="Heading2"/>
      </w:pPr>
      <w:r>
        <w:t>研发与产品进展</w:t>
      </w:r>
    </w:p>
    <w:p>
      <w:r>
        <w:t>核心技术：多光谱成像器械；核心产品：多光谱成像器械产品。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未在上海落地</w:t>
      </w:r>
    </w:p>
    <w:p>
      <w:r>
        <w:t>本期缺少关键附件。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