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序智软件2026Q1季度投后报告（增强版）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QR2-P011-2026Q1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P011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序智软件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上海序智工业软件有限公司投后联系人向GP和未来基金提供，报告期为2026Q1，材料日期为2026-04-23。报告采用企业管理口径，未经审计，收入、订单和人员数据与工商、审计、社保或交割文件可能存在统计时点差异。</w:t>
      </w:r>
    </w:p>
    <w:p>
      <w:r>
        <w:t>报告期内，公司围绕PLM知识图谱推进研发、客户验证和融资沟通。上期计划为：企业称使用AI做办公效率和市场分析。本期实际进展为：新增制造客户，AI不构成核心产品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-04-23，公司在手商机共9项，其中已签测试或PoC文件4项，正式订单2项；本期管理口径收入293万元，已开票金额210万元，现金回款169万元。公司现金余额约860万元，按照当前月均现金支出146万元估算，可支撑5个月。</w:t>
      </w:r>
    </w:p>
    <w:p>
      <w:r>
        <w:t>客户侧，本期重点跟进临港新片区科创中心、海启医药和中科院上海高研院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PLM知识图谱展开。本期研发团队完成需求评审5次、版本发布1次、内部测试用例190条，新增技术文档26份。关键研发工作包括算法/硬件/工艺参数优化、系统稳定性验证、客户环境适配和知识产权整理。</w:t>
      </w:r>
    </w:p>
    <w:p>
      <w:r>
        <w:t>研发过程方面，第1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序智软件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主产品线：完成阶段性验收节点3个，尚有1个问题项未关闭。</w:t>
      </w:r>
    </w:p>
    <w:p>
      <w:r>
        <w:t>2. 工程化项目：供应商杭州云算力科技负责部分加工或测试，计划交付日期为2026-05-28。</w:t>
      </w:r>
    </w:p>
    <w:p>
      <w:r>
        <w:t>3. 数据与软件项目：新增样本或工况数据440组，其中约30%来自客户现场，仍需完成脱敏和授权确认。</w:t>
      </w:r>
    </w:p>
    <w:p>
      <w:r>
        <w:t>4. 知识产权：本期提交发明专利1件，授权或进入实审2件；如需用于专题筛选，应以专利受理通知或授权文件为准。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新增制造客户，AI不构成核心产品；第二，客户侧已有临港新片区科创中心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下一里程碑计划为2026-06-22前关闭主要问题项，并在下一季度向股东提交附件包。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临港新片区科创中心已完成技术交流并提供样品/测试环境，预计下一阶段签署PoC；海启医药要求补充安全、稳定性或合规材料；中科院上海高研院仅完成高层拜访。公司另与华东汽车电子厂保持沟通。</w:t>
      </w:r>
    </w:p>
    <w:p>
      <w:r>
        <w:t>订单方面，本期新增意向金额879万元，已签合同金额410万元，满足收入确认条件的金额为293万元。部分合同包含验收、试运行或监管注册前置条件，因此新闻或路演口径中的“签约”不能直接等同于确认收入。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本期收入采用管理口径，包含已验收收入、阶段性服务收入和少量未开票收入。已确认收入293万元，合同负债102万元，应收账款181万元，其中账龄超过90天的35万元。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截至期末，公司累计收入879万元，累计研发费用740万元，销售及市场费用180万元，管理费用190万元。人员薪酬为最大支出项，占经营性现金流出约44%；设备采购和外协测试占比约22%。</w:t>
      </w:r>
    </w:p>
    <w:p>
      <w:r>
        <w:t>公司本期预算收入353万元，实际完成率83.0%；预算研发支出640万元，实际支出740万元，偏差原因包括外协测试排期、客户现场适配和新增人员招聘。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期初现金余额约1040万元，本期经营性现金流出250万元，投资性现金流出160万元，融资性流入1000万元。募集资金主要用于研发人员、样机设备、云算力或测试服务、客户现场支持和上海落地费用。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期末员工总数37人，其中研发人员22人，销售及交付6人，职能人员8人。上海团队按企业统计为16人，但严格口径应查看劳动合同、社保缴纳、办公门禁或实际项目分工。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公司当前上海相关状态：总部已注册在上海并实际经营。企业口径下，上海事项包括工商登记、园区协议、办公租赁、人员入驻、采购付款和业务收入等多个层次。</w:t>
      </w:r>
    </w:p>
    <w:p>
      <w:r>
        <w:t>本期上海相关支出约110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PLM知识图谱产品版本迭代；推动临港新片区科创中心或海启医药形成正式验收；补充融资交割或工商变更材料；更新资金使用台账；提交上海人员、采购或租赁证明；召开一次投后专题会议。计划完成日期集中在2026-06-07至2026-07-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