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QR-P012-2026Q1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拓界智造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项目编号：P012；行业：智能制造；轮次：战略融资（实为A轮追加）；上海落地：签署上海落地协议但后续延期。</w:t>
      </w:r>
    </w:p>
    <w:p>
      <w:pPr>
        <w:pStyle w:val="Heading2"/>
      </w:pPr>
      <w:r>
        <w:t>本季度核心进展</w:t>
      </w:r>
    </w:p>
    <w:p>
      <w:r>
        <w:t>计划中的战略投资人未出现在股东名册</w:t>
      </w:r>
    </w:p>
    <w:p>
      <w:pPr>
        <w:pStyle w:val="Heading2"/>
      </w:pPr>
      <w:r>
        <w:t>研发与产品进展</w:t>
      </w:r>
    </w:p>
    <w:p>
      <w:r>
        <w:t>核心技术：产线数字化；核心产品：产线数字化产品。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当前描述：战略融资（实为A轮追加）。需区分宣布融资、TS、正式协议、首次交割、全部交割、工商变更。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签署上海落地协议但后续延期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