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QR2-P012-2026Q1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武汉拓界智能制造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产线数字化推进研发、客户验证和融资沟通。上期计划为：签署上海临港落地协议。本期实际进展为：计划中的战略投资人未出现在股东名册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10项，其中已签测试或PoC文件4项，正式订单2项；本期管理口径收入316万元，已开票金额227万元，现金回款183万元。公司现金余额约980万元，按照当前月均现金支出146万元估算，可支撑6个月。</w:t>
      </w:r>
    </w:p>
    <w:p>
      <w:r>
        <w:t>客户侧，本期重点跟进华东理工大学课题组、中科院上海高研院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产线数字化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计划中的战略投资人未出现在股东名册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中科院上海高研院仅完成高层拜访。公司另与华东汽车电子厂保持沟通。</w:t>
      </w:r>
    </w:p>
    <w:p>
      <w:r>
        <w:t>订单方面，本期新增意向金额948万元，已签合同金额442万元，满足收入确认条件的金额为316万元。部分合同包含验收、试运行或监管注册前置条件，因此新闻或路演口径中的“签约”不能直接等同于确认收入。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本期收入采用管理口径，包含已验收收入、阶段性服务收入和少量未开票收入。已确认收入316万元，合同负债110万元，应收账款195万元，其中账龄超过90天的37万元。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公司本期仍按战略融资（实为A轮追加）对外沟通。管理层称潜在投资人已进入尽调，但是否构成正式融资节点，应以TS、投资协议、交割确认和工商变更为准。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截至期末，公司累计收入948万元，累计研发费用740万元，销售及市场费用180万元，管理费用190万元。人员薪酬为最大支出项，占经营性现金流出约44%；设备采购和外协测试占比约22%。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公司本期预算收入376万元，实际完成率84.0%；预算研发支出640万元，实际支出740万元，偏差原因包括外协测试排期、客户现场适配和新增人员招聘。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期初现金余额约1160万元，本期经营性现金流出250万元，投资性现金流出160万元，融资性流入1000万元。募集资金主要用于研发人员、样机设备、云算力或测试服务、客户现场支持和上海落地费用。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期末员工总数38人，其中研发人员23人，销售及交付6人，职能人员8人。上海团队按企业统计为16人，但严格口径应查看劳动合同、社保缴纳、办公门禁或实际项目分工。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公司当前上海相关状态：签署上海落地协议但后续延期。企业口径下，上海事项包括工商登记、园区协议、办公租赁、人员入驻、采购付款和业务收入等多个层次。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产线数字化产品版本迭代；推动华东理工大学课题组或中科院上海高研院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