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GP2-P012-2026Q1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上期重点事项为签署上海临港落地协议。本期新增信息为计划中的战略投资人未出现在股东名册。与企业自报材料相比，GP重点关注证明材料是否足以支撑结论，而非仅看管理层表述。</w:t>
      </w:r>
    </w:p>
    <w:p>
      <w:r>
        <w:t>GP核验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需要未来基金关注：量子概念排除；融资轮次冲突；战略投资人未进入股东名册。GP建议将融资节点、上海落地、关键人员、收入确认和协议履约材料分开追踪，避免用单一积极表述覆盖多个法律或管理口径。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3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4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6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7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8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拓界智造，本期需持续关注：量子概念排除；融资轮次冲突；战略投资人未进入股东名册。GP建议发出书面问询，要求企业按字段提供证明，包括材料名称、形成日期、是否盖章、是否外部公开、是否可与其他来源交叉验证。</w:t>
      </w:r>
    </w:p>
    <w:p>
      <w:r>
        <w:t>核验补充9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10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