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QR-P001-2026Q2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项目编号：P001；行业：AI for Science；轮次：Pre-A轮；上海落地：总部已注册在上海并实际经营。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完成工程样机并通过内部测试，新增2件发明专利授权</w:t>
      </w:r>
    </w:p>
    <w:p>
      <w:pPr>
        <w:pStyle w:val="Heading2"/>
      </w:pPr>
      <w:r>
        <w:t>研发与产品进展</w:t>
      </w:r>
    </w:p>
    <w:p>
      <w:r>
        <w:t>核心技术：AI材料模拟；核心产品：AI材料模拟产品。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