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原矩量子2026Q2季度投后报告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QR-P002-2026Q2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原矩量子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项目编号：P002；行业：量子计算；轮次：A轮；上海落地：上海子公司已注册，部分研发入驻。</w:t>
      </w:r>
    </w:p>
    <w:p>
      <w:pPr>
        <w:pStyle w:val="Heading2"/>
      </w:pPr>
      <w:r>
        <w:t>本季度核心进展</w:t>
      </w:r>
    </w:p>
    <w:p>
      <w:r>
        <w:t>进入第三方低温稳定性检测；新闻稿称A+轮，股东名册显示原A轮追加</w:t>
      </w:r>
    </w:p>
    <w:p>
      <w:pPr>
        <w:pStyle w:val="Heading2"/>
      </w:pPr>
      <w:r>
        <w:t>研发与产品进展</w:t>
      </w:r>
    </w:p>
    <w:p>
      <w:r>
        <w:t>核心技术：超导量子测控；核心产品：超导量子测控产品。</w:t>
      </w:r>
    </w:p>
    <w:p>
      <w:pPr>
        <w:pStyle w:val="Heading2"/>
      </w:pPr>
      <w:r>
        <w:t>客户与商业化进展</w:t>
      </w:r>
    </w:p>
    <w:p>
      <w:r>
        <w:t>本期收入/确认收入口径：380万元。</w:t>
      </w:r>
    </w:p>
    <w:p>
      <w:pPr>
        <w:pStyle w:val="Heading2"/>
      </w:pPr>
      <w:r>
        <w:t>融资进展</w:t>
      </w:r>
    </w:p>
    <w:p>
      <w:r>
        <w:t>当前描述：A轮。需区分宣布融资、TS、正式协议、首次交割、全部交割、工商变更。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员工总人数：35人；上海团队以社保或入驻证明核验。</w:t>
      </w:r>
    </w:p>
    <w:p>
      <w:pPr>
        <w:pStyle w:val="Heading2"/>
      </w:pPr>
      <w:r>
        <w:t>上海落地情况</w:t>
      </w:r>
    </w:p>
    <w:p>
      <w:r>
        <w:t>上海子公司已注册，部分研发入驻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