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原矩量子2026Q2季度投后报告（增强版）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QR2-P002-2026Q2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P002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原矩量子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北京原矩量子技术有限公司投后联系人向GP和未来基金提供，报告期为2026Q2，材料日期为2026-07-20。报告采用企业管理口径，未经审计，收入、订单和人员数据与工商、审计、社保或交割文件可能存在统计时点差异。</w:t>
      </w:r>
    </w:p>
    <w:p>
      <w:r>
        <w:t>报告期内，公司围绕超导量子测控推进研发、客户验证和融资沟通。上期计划为：上海子公司工商登记完成，A轮首次交割。本期实际进展为：进入第三方低温稳定性检测；新闻稿称A+轮，股东名册显示原A轮追加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-07-20，公司在手商机共11项，其中已签测试或PoC文件2项，正式订单3项；本期管理口径收入411万元，已开票金额295万元，现金回款238万元。公司现金余额约900万元，按照当前月均现金支出164万元估算，可支撑5个月。</w:t>
      </w:r>
    </w:p>
    <w:p>
      <w:r>
        <w:t>客户侧，本期重点跟进瑞泽医药、某三甲医院影像科和某三甲医院影像科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超导量子测控展开。本期研发团队完成需求评审6次、版本发布2次、内部测试用例225条，新增技术文档30份。关键研发工作包括算法/硬件/工艺参数优化、系统稳定性验证、客户环境适配和知识产权整理。</w:t>
      </w:r>
    </w:p>
    <w:p>
      <w:r>
        <w:t>研发过程方面，第1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原矩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主产品线：完成阶段性验收节点4个，尚有1个问题项未关闭。</w:t>
      </w:r>
    </w:p>
    <w:p>
      <w:r>
        <w:t>2. 工程化项目：供应商南京传感器件厂负责部分加工或测试，计划交付日期为2026-08-24。</w:t>
      </w:r>
    </w:p>
    <w:p>
      <w:r>
        <w:t>3. 数据与软件项目：新增样本或工况数据530组，其中约35%来自客户现场，仍需完成脱敏和授权确认。</w:t>
      </w:r>
    </w:p>
    <w:p>
      <w:r>
        <w:t>4. 知识产权：本期提交发明专利2件，授权或进入实审3件；如需用于专题筛选，应以专利受理通知或授权文件为准。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进入第三方低温稳定性检测；新闻稿称A+轮，股东名册显示原A轮追加；第二，客户侧已有瑞泽医药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下一里程碑计划为2026-09-18前关闭主要问题项，并在下一季度向股东提交附件包。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瑞泽医药已完成技术交流并提供样品/测试环境，预计下一阶段签署PoC；某三甲医院影像科要求补充安全、稳定性或合规材料；某三甲医院影像科仅完成高层拜访。公司另与浦江工业软件联盟保持沟通。</w:t>
      </w:r>
    </w:p>
    <w:p>
      <w:r>
        <w:t>订单方面，本期新增意向金额1233万元，已签合同金额575万元，满足收入确认条件的金额为411万元。部分合同包含验收、试运行或监管注册前置条件，因此新闻或路演口径中的“签约”不能直接等同于确认收入。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本期收入采用管理口径，包含已验收收入、阶段性服务收入和少量未开票收入。已确认收入411万元，合同负债143万元，应收账款254万元，其中账龄超过90天的49万元。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公司对外新闻稿使用“A+轮”表述，内部股东名册显示本次为原A轮投资人追加认购，交割文件载明首期到账6200万元，剩余款项与第三方检测报告提交相关。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截至期末，公司累计收入1644万元，累计研发费用900万元，销售及市场费用225万元，管理费用220万元。人员薪酬为最大支出项，占经营性现金流出约45%；设备采购和外协测试占比约24%。</w:t>
      </w:r>
    </w:p>
    <w:p>
      <w:r>
        <w:t>公司本期预算收入471万元，实际完成率87.3%；预算研发支出760万元，实际支出900万元，偏差原因包括外协测试排期、客户现场适配和新增人员招聘。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期初现金余额约1080万元，本期经营性现金流出285万元，投资性现金流出200万元，融资性流入1200万元。募集资金主要用于研发人员、样机设备、云算力或测试服务、客户现场支持和上海落地费用。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期末员工总数44人，其中研发人员27人，销售及交付7人，职能人员9人。上海团队按企业统计为20人，但严格口径应查看劳动合同、社保缴纳、办公门禁或实际项目分工。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公司当前上海相关状态：上海子公司已注册，部分研发入驻。企业口径下，上海事项包括工商登记、园区协议、办公租赁、人员入驻、采购付款和业务收入等多个层次。</w:t>
      </w:r>
    </w:p>
    <w:p>
      <w:r>
        <w:t>本期上海相关支出约145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超导量子测控产品版本迭代；推动瑞泽医药或某三甲医院影像科形成正式验收；补充融资交割或工商变更材料；更新资金使用台账；提交上海人员、采购或租赁证明；召开一次投后专题会议。计划完成日期集中在2026-09-03至2026-10-08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