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QR-P003-2026Q2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项目编号：P003；行业：量子精密测量；轮次：A轮；上海落地：签署上海落地意向并租赁临时办公室，未工商注册。</w:t>
      </w:r>
    </w:p>
    <w:p>
      <w:pPr>
        <w:pStyle w:val="Heading2"/>
      </w:pPr>
      <w:r>
        <w:t>本季度核心进展</w:t>
      </w:r>
    </w:p>
    <w:p>
      <w:r>
        <w:t>客户验证较原计划延期两个季度，未见上海营业执照</w:t>
      </w:r>
    </w:p>
    <w:p>
      <w:pPr>
        <w:pStyle w:val="Heading2"/>
      </w:pPr>
      <w:r>
        <w:t>研发与产品进展</w:t>
      </w:r>
    </w:p>
    <w:p>
      <w:r>
        <w:t>核心技术：NV色心磁测量；核心产品：NV色心磁测量产品。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签署上海落地意向并租赁临时办公室，未工商注册</w:t>
      </w:r>
    </w:p>
    <w:p>
      <w:r>
        <w:t>本期缺少关键附件。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