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辰析生物2026Q2季度投后报告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QR-P004-2026Q2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P004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辰析生物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项目编号：P004；行业：AI制药；轮次：A+轮；上海落地：上海张江联合实验室，未设独立法人。</w:t>
      </w:r>
    </w:p>
    <w:p>
      <w:pPr>
        <w:pStyle w:val="Heading2"/>
      </w:pPr>
      <w:r>
        <w:t>本季度核心进展</w:t>
      </w:r>
    </w:p>
    <w:p>
      <w:r>
        <w:t>引入海启医药，A+轮完成首期交割</w:t>
      </w:r>
    </w:p>
    <w:p>
      <w:pPr>
        <w:pStyle w:val="Heading2"/>
      </w:pPr>
      <w:r>
        <w:t>研发与产品进展</w:t>
      </w:r>
    </w:p>
    <w:p>
      <w:r>
        <w:t>核心技术：AI蛋白设计；核心产品：AI蛋白设计产品。</w:t>
      </w:r>
    </w:p>
    <w:p>
      <w:pPr>
        <w:pStyle w:val="Heading2"/>
      </w:pPr>
      <w:r>
        <w:t>客户与商业化进展</w:t>
      </w:r>
    </w:p>
    <w:p>
      <w:r>
        <w:t>本期收入/确认收入口径：380万元。</w:t>
      </w:r>
    </w:p>
    <w:p>
      <w:pPr>
        <w:pStyle w:val="Heading2"/>
      </w:pPr>
      <w:r>
        <w:t>融资进展</w:t>
      </w:r>
    </w:p>
    <w:p>
      <w:r>
        <w:t>当前描述：A+轮。需区分宣布融资、TS、正式协议、首次交割、全部交割、工商变更。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员工总人数：35人；上海团队以社保或入驻证明核验。</w:t>
      </w:r>
    </w:p>
    <w:p>
      <w:pPr>
        <w:pStyle w:val="Heading2"/>
      </w:pPr>
      <w:r>
        <w:t>上海落地情况</w:t>
      </w:r>
    </w:p>
    <w:p>
      <w:r>
        <w:t>上海张江联合实验室，未设独立法人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