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辰析生物2026Q2GP季度投后报告（增强版）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GP2-P004-2026Q2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上期重点事项为完成客户现场验证，确认收入820万元。本期新增信息为引入海启医药，A+轮完成首期交割。与企业自报材料相比，GP重点关注证明材料是否足以支撑结论，而非仅看管理层表述。</w:t>
      </w:r>
    </w:p>
    <w:p>
      <w:r>
        <w:t>GP核验方面，第1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需要未来基金关注：AI for Science；A+轮；客户验证完成；引入战略投资人。GP建议将融资节点、上海落地、关键人员、收入确认和协议履约材料分开追踪，避免用单一积极表述覆盖多个法律或管理口径。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2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3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4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6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7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8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对于辰析生物，本期需持续关注：AI for Science；A+轮；客户验证完成；引入战略投资人。GP建议发出书面问询，要求企业按字段提供证明，包括材料名称、形成日期、是否盖章、是否外部公开、是否可与其他来源交叉验证。</w:t>
      </w:r>
    </w:p>
    <w:p>
      <w:r>
        <w:t>核验补充9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10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11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