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QR-P005-2026Q2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深材智能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项目编号：P005；行业：新材料；轮次：A轮/战略融资冲突；上海落地：未在上海落地。</w:t>
      </w:r>
    </w:p>
    <w:p>
      <w:pPr>
        <w:pStyle w:val="Heading2"/>
      </w:pPr>
      <w:r>
        <w:t>本季度核心进展</w:t>
      </w:r>
    </w:p>
    <w:p>
      <w:r>
        <w:t>未提供算法说明，AI是否为核心仍待确认</w:t>
      </w:r>
    </w:p>
    <w:p>
      <w:pPr>
        <w:pStyle w:val="Heading2"/>
      </w:pPr>
      <w:r>
        <w:t>研发与产品进展</w:t>
      </w:r>
    </w:p>
    <w:p>
      <w:r>
        <w:t>核心技术：材料科学数据平台；核心产品：材料科学数据平台产品。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当前描述：A轮/战略融资冲突。需区分宣布融资、TS、正式协议、首次交割、全部交割、工商变更。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未在上海落地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