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QR2-P005-2026Q2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深材智能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南京深材智能科技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材料科学数据平台推进研发、客户验证和融资沟通。上期计划为：季度报告称A轮，新闻稿称战略融资。本期实际进展为：未提供算法说明，AI是否为核心仍待确认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10项，其中已签测试或PoC文件2项，正式订单3项；本期管理口径收入480万元，已开票金额345万元，现金回款278万元。公司现金余额约1260万元，按照当前月均现金支出164万元估算，可支撑7个月。</w:t>
      </w:r>
    </w:p>
    <w:p>
      <w:r>
        <w:t>客户侧，本期重点跟进某三甲医院影像科、长三角量子网络试验节点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材料科学数据平台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未提供算法说明，AI是否为核心仍待确认；第二，客户侧已有某三甲医院影像科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某三甲医院影像科已完成技术交流并提供样品/测试环境，预计下一阶段签署PoC；长三角量子网络试验节点要求补充安全、稳定性或合规材料；某三甲医院影像科仅完成高层拜访。公司另与浦江工业软件联盟保持沟通。</w:t>
      </w:r>
    </w:p>
    <w:p>
      <w:r>
        <w:t>订单方面，本期新增意向金额1440万元，已签合同金额672万元，满足收入确认条件的金额为480万元。部分合同包含验收、试运行或监管注册前置条件，因此新闻或路演口径中的“签约”不能直接等同于确认收入。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本期收入采用管理口径，包含已验收收入、阶段性服务收入和少量未开票收入。已确认收入480万元，合同负债168万元，应收账款297万元，其中账龄超过90天的57万元。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企业口径称本轮为A轮，园区新闻使用战略融资表述，管理层解释称有产业资源导入但尚未提供正式投资协议。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截至期末，公司累计收入1920万元，累计研发费用900万元，销售及市场费用225万元，管理费用220万元。人员薪酬为最大支出项，占经营性现金流出约45%；设备采购和外协测试占比约24%。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公司本期预算收入540万元，实际完成率88.9%；预算研发支出760万元，实际支出900万元，偏差原因包括外协测试排期、客户现场适配和新增人员招聘。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期初现金余额约1440万元，本期经营性现金流出285万元，投资性现金流出200万元，融资性流入1200万元。募集资金主要用于研发人员、样机设备、云算力或测试服务、客户现场支持和上海落地费用。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期末员工总数47人，其中研发人员29人，销售及交付8人，职能人员10人。上海团队按企业统计为0人，但严格口径应查看劳动合同、社保缴纳、办公门禁或实际项目分工。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公司当前上海相关状态：未在上海落地。企业口径下，上海事项包括工商登记、园区协议、办公租赁、人员入驻、采购付款和业务收入等多个层次。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材料科学数据平台产品版本迭代；推动某三甲医院影像科或长三角量子网络试验节点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