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QR-P009-2026Q2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项目编号：P009；行业：合成生物；轮次：Pre-A轮；上海落地：上海子公司工商注册但人员和试生产证明不足。</w:t>
      </w:r>
    </w:p>
    <w:p>
      <w:pPr>
        <w:pStyle w:val="Heading2"/>
      </w:pPr>
      <w:r>
        <w:t>本季度核心进展</w:t>
      </w:r>
    </w:p>
    <w:p>
      <w:r>
        <w:t>Pre-A轮首期交割，返投统计与银行流水口径不一致</w:t>
      </w:r>
    </w:p>
    <w:p>
      <w:pPr>
        <w:pStyle w:val="Heading2"/>
      </w:pPr>
      <w:r>
        <w:t>研发与产品进展</w:t>
      </w:r>
    </w:p>
    <w:p>
      <w:r>
        <w:t>核心技术：AI酶工程；核心产品：AI酶工程产品。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上海子公司工商注册但人员和试生产证明不足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