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棱镜医疗2026Q2季度投后报告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QR-P010-2026Q2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P010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棱镜医疗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项目编号：P010；行业：医疗器械；轮次：A轮；上海落地：未在上海落地。</w:t>
      </w:r>
    </w:p>
    <w:p>
      <w:pPr>
        <w:pStyle w:val="Heading2"/>
      </w:pPr>
      <w:r>
        <w:t>本季度核心进展</w:t>
      </w:r>
    </w:p>
    <w:p>
      <w:r>
        <w:t>医疗器械注册申请获得受理，商业化计划延期</w:t>
      </w:r>
    </w:p>
    <w:p>
      <w:pPr>
        <w:pStyle w:val="Heading2"/>
      </w:pPr>
      <w:r>
        <w:t>研发与产品进展</w:t>
      </w:r>
    </w:p>
    <w:p>
      <w:r>
        <w:t>核心技术：多光谱成像器械；核心产品：多光谱成像器械产品。</w:t>
      </w:r>
    </w:p>
    <w:p>
      <w:pPr>
        <w:pStyle w:val="Heading2"/>
      </w:pPr>
      <w:r>
        <w:t>客户与商业化进展</w:t>
      </w:r>
    </w:p>
    <w:p>
      <w:r>
        <w:t>本期收入/确认收入口径：380万元。</w:t>
      </w:r>
    </w:p>
    <w:p>
      <w:pPr>
        <w:pStyle w:val="Heading2"/>
      </w:pPr>
      <w:r>
        <w:t>融资进展</w:t>
      </w:r>
    </w:p>
    <w:p>
      <w:r>
        <w:t>当前描述：A轮。需区分宣布融资、TS、正式协议、首次交割、全部交割、工商变更。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员工总人数：35人；上海团队以社保或入驻证明核验。</w:t>
      </w:r>
    </w:p>
    <w:p>
      <w:pPr>
        <w:pStyle w:val="Heading2"/>
      </w:pPr>
      <w:r>
        <w:t>上海落地情况</w:t>
      </w:r>
    </w:p>
    <w:p>
      <w:r>
        <w:t>未在上海落地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