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QR-P012-2026Q2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拓界智造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项目编号：P012；行业：智能制造；轮次：战略融资（实为A轮追加）；上海落地：签署上海落地协议但后续延期。</w:t>
      </w:r>
    </w:p>
    <w:p>
      <w:pPr>
        <w:pStyle w:val="Heading2"/>
      </w:pPr>
      <w:r>
        <w:t>本季度核心进展</w:t>
      </w:r>
    </w:p>
    <w:p>
      <w:r>
        <w:t>新闻称量子级加密制造云，技术资料显示为普通TLS；上海落地延期</w:t>
      </w:r>
    </w:p>
    <w:p>
      <w:pPr>
        <w:pStyle w:val="Heading2"/>
      </w:pPr>
      <w:r>
        <w:t>研发与产品进展</w:t>
      </w:r>
    </w:p>
    <w:p>
      <w:r>
        <w:t>核心技术：产线数字化；核心产品：产线数字化产品。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当前描述：战略融资（实为A轮追加）。需区分宣布融资、TS、正式协议、首次交割、全部交割、工商变更。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签署上海落地协议但后续延期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