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灵枢机器人公司章程修订稿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P008</w:t>
            </w:r>
          </w:p>
        </w:tc>
      </w:tr>
    </w:tbl>
    <w:p>
      <w:pPr>
        <w:pStyle w:val="Heading2"/>
      </w:pPr>
      <w:r>
        <w:t>投资方权利</w:t>
      </w:r>
    </w:p>
    <w:p>
      <w:r>
        <w:t>载明未来基金观察员和重大事项同意权。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