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深材智能投资协议（增强版POC模拟）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FF-INV-2025-P005</w:t>
            </w:r>
          </w:p>
        </w:tc>
      </w:tr>
      <w:tr>
        <w:tc>
          <w:tcPr>
            <w:tcW w:type="dxa" w:w="4320"/>
          </w:tcPr>
          <w:p>
            <w:r>
              <w:t>项目编号</w:t>
            </w:r>
          </w:p>
        </w:tc>
        <w:tc>
          <w:tcPr>
            <w:tcW w:type="dxa" w:w="4320"/>
          </w:tcPr>
          <w:p>
            <w:r>
              <w:t>P005</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本协议由未来基金、南京深材智能科技有限公司、创始股东及相关原股东于2025年9月15日签署。协议目的为约定未来基金对公司进行股权投资的安排以及交割后持续履约事项。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对于未在上海落地等情形，各方同意应按工商注册、实际经营、团队入驻和业务发生分别判断。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深材智能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深材智能出现科学研究平台但AI非核心证据不足；BP过期；融资口径冲突相关事项，投资方可要求公司在十个工作日内补充说明。若延误具有合理客观原因，公司应提供政府受理通知、客户延期邮件、检测机构排期、银行付款记录或其他可验证材料。</w:t>
      </w:r>
    </w:p>
    <w:p>
      <w:r>
        <w:t>补充约定13：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