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极微半导体投资协议（POC模拟）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协议编号</w:t>
            </w:r>
          </w:p>
        </w:tc>
        <w:tc>
          <w:tcPr>
            <w:tcW w:type="dxa" w:w="4320"/>
          </w:tcPr>
          <w:p>
            <w:r>
              <w:t>FF-INV-2025-P007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P007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2025-09-15</w:t>
            </w:r>
          </w:p>
        </w:tc>
      </w:tr>
    </w:tbl>
    <w:p>
      <w:pPr>
        <w:pStyle w:val="Heading2"/>
      </w:pPr>
      <w:r>
        <w:t>第4.2条</w:t>
      </w:r>
    </w:p>
    <w:p>
      <w:r>
        <w:t>交割后6个月内设立上海子公司</w:t>
      </w:r>
    </w:p>
    <w:p>
      <w:r>
        <w:t>条款类型：上海落地</w:t>
      </w:r>
    </w:p>
    <w:p>
      <w:r>
        <w:t>责任主体：被投企业/GP</w:t>
      </w:r>
    </w:p>
    <w:p>
      <w:r>
        <w:t>截止日期：2026-03-14</w:t>
      </w:r>
    </w:p>
    <w:p>
      <w:r>
        <w:t>判断完成所需证据：正式证明材料</w:t>
      </w:r>
    </w:p>
    <w:p>
      <w:pPr>
        <w:pStyle w:val="Heading2"/>
      </w:pPr>
      <w:r>
        <w:t>第4.3条</w:t>
      </w:r>
    </w:p>
    <w:p>
      <w:r>
        <w:t>交割后12个月内上海研发团队不少于20人</w:t>
      </w:r>
    </w:p>
    <w:p>
      <w:r>
        <w:t>条款类型：上海落地</w:t>
      </w:r>
    </w:p>
    <w:p>
      <w:r>
        <w:t>责任主体：被投企业/GP</w:t>
      </w:r>
    </w:p>
    <w:p>
      <w:r>
        <w:t>截止日期：2026-09-15</w:t>
      </w:r>
    </w:p>
    <w:p>
      <w:r>
        <w:t>判断完成所需证据：正式证明材料</w:t>
      </w:r>
    </w:p>
    <w:p>
      <w:pPr>
        <w:pStyle w:val="Heading2"/>
      </w:pPr>
      <w:r>
        <w:t>第5.1条</w:t>
      </w:r>
    </w:p>
    <w:p>
      <w:r>
        <w:t>每季度结束后30日内提交经营报告</w:t>
      </w:r>
    </w:p>
    <w:p>
      <w:r>
        <w:t>条款类型：信息披露</w:t>
      </w:r>
    </w:p>
    <w:p>
      <w:r>
        <w:t>责任主体：被投企业/GP</w:t>
      </w:r>
    </w:p>
    <w:p>
      <w:r>
        <w:t>截止日期：2025-10-15</w:t>
      </w:r>
    </w:p>
    <w:p>
      <w:r>
        <w:t>判断完成所需证据：正式证明材料</w:t>
      </w:r>
    </w:p>
    <w:p>
      <w:pPr>
        <w:pStyle w:val="Heading2"/>
      </w:pPr>
      <w:r>
        <w:t>第6.1条</w:t>
      </w:r>
    </w:p>
    <w:p>
      <w:r>
        <w:t>未来基金观察员及章程修订</w:t>
      </w:r>
    </w:p>
    <w:p>
      <w:r>
        <w:t>条款类型：公司治理</w:t>
      </w:r>
    </w:p>
    <w:p>
      <w:r>
        <w:t>责任主体：被投企业/GP</w:t>
      </w:r>
    </w:p>
    <w:p>
      <w:r>
        <w:t>截止日期：2025-11-14</w:t>
      </w:r>
    </w:p>
    <w:p>
      <w:r>
        <w:t>判断完成所需证据：正式证明材料</w:t>
      </w:r>
    </w:p>
    <w:p>
      <w:pPr>
        <w:pStyle w:val="Heading2"/>
      </w:pPr>
      <w:r>
        <w:t>第7.3条</w:t>
      </w:r>
    </w:p>
    <w:p>
      <w:r>
        <w:t>关键人员变化10个工作日内通知</w:t>
      </w:r>
    </w:p>
    <w:p>
      <w:r>
        <w:t>条款类型：关键人员</w:t>
      </w:r>
    </w:p>
    <w:p>
      <w:r>
        <w:t>责任主体：被投企业/GP</w:t>
      </w:r>
    </w:p>
    <w:p>
      <w:r>
        <w:t>截止日期：2025-09-25</w:t>
      </w:r>
    </w:p>
    <w:p>
      <w:r>
        <w:t>判断完成所需证据：正式证明材料</w:t>
      </w:r>
    </w:p>
    <w:p>
      <w:pPr>
        <w:pStyle w:val="Heading2"/>
      </w:pPr>
      <w:r>
        <w:t>第8.2条</w:t>
      </w:r>
    </w:p>
    <w:p>
      <w:r>
        <w:t>募集资金不得用于非经营性拆借</w:t>
      </w:r>
    </w:p>
    <w:p>
      <w:r>
        <w:t>条款类型：资金使用</w:t>
      </w:r>
    </w:p>
    <w:p>
      <w:r>
        <w:t>责任主体：被投企业/GP</w:t>
      </w:r>
    </w:p>
    <w:p>
      <w:r>
        <w:t>截止日期：事件触发后</w:t>
      </w:r>
    </w:p>
    <w:p>
      <w:r>
        <w:t>判断完成所需证据：正式证明材料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