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极微半导体投资协议（增强版POC模拟）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FF-INV-2025-P007</w:t>
            </w:r>
          </w:p>
        </w:tc>
      </w:tr>
      <w:tr>
        <w:tc>
          <w:tcPr>
            <w:tcW w:type="dxa" w:w="4320"/>
          </w:tcPr>
          <w:p>
            <w:r>
              <w:t>项目编号</w:t>
            </w:r>
          </w:p>
        </w:tc>
        <w:tc>
          <w:tcPr>
            <w:tcW w:type="dxa" w:w="4320"/>
          </w:tcPr>
          <w:p>
            <w:r>
              <w:t>P007</w:t>
            </w:r>
          </w:p>
        </w:tc>
      </w:tr>
      <w:tr>
        <w:tc>
          <w:tcPr>
            <w:tcW w:type="dxa" w:w="4320"/>
          </w:tcPr>
          <w:p>
            <w:r>
              <w:t>材料日期</w:t>
            </w:r>
          </w:p>
        </w:tc>
        <w:tc>
          <w:tcPr>
            <w:tcW w:type="dxa" w:w="4320"/>
          </w:tcPr>
          <w:p>
            <w:r>
              <w:t>2025-09-15</w:t>
            </w:r>
          </w:p>
        </w:tc>
      </w:tr>
      <w:tr>
        <w:tc>
          <w:tcPr>
            <w:tcW w:type="dxa" w:w="4320"/>
          </w:tcPr>
          <w:p>
            <w:r>
              <w:t>签署状态</w:t>
            </w:r>
          </w:p>
        </w:tc>
        <w:tc>
          <w:tcPr>
            <w:tcW w:type="dxa" w:w="4320"/>
          </w:tcPr>
          <w:p>
            <w:r>
              <w:t>模拟已签署</w:t>
            </w:r>
          </w:p>
        </w:tc>
      </w:tr>
    </w:tbl>
    <w:p>
      <w:pPr>
        <w:pStyle w:val="Heading2"/>
      </w:pPr>
      <w:r>
        <w:t>第一条 定义</w:t>
      </w:r>
    </w:p>
    <w:p>
      <w:r>
        <w:t>本协议由未来基金、深圳极微半导体有限公司、创始股东及相关原股东于2025年9月15日签署。协议目的为约定未来基金对公司进行股权投资的安排以及交割后持续履约事项。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对于仅口头计划落地上海等情形，各方同意应按工商注册、实际经营、团队入驻和业务发生分别判断。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补充条款1</w:t>
      </w:r>
    </w:p>
    <w:p>
      <w:r>
        <w:t>协议上下文和例外情形方面，第1项记录来自极微半导体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极微半导体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极微半导体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补充条款2</w:t>
      </w:r>
    </w:p>
    <w:p>
      <w:r>
        <w:t>协议上下文和例外情形方面，第1项记录来自极微半导体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极微半导体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极微半导体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补充条款3</w:t>
      </w:r>
    </w:p>
    <w:p>
      <w:r>
        <w:t>协议上下文和例外情形方面，第1项记录来自极微半导体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极微半导体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极微半导体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补充条款4</w:t>
      </w:r>
    </w:p>
    <w:p>
      <w:r>
        <w:t>协议上下文和例外情形方面，第1项记录来自极微半导体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极微半导体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极微半导体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增强补充：持续跟踪和信息核验条款</w:t>
      </w:r>
    </w:p>
    <w:p>
      <w:pPr>
        <w:pStyle w:val="Heading3"/>
      </w:pPr>
      <w:r>
        <w:t>第十二条 信息核验和材料优先级</w:t>
      </w:r>
    </w:p>
    <w:p>
      <w:r>
        <w:t>补充约定1：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极微半导体出现连续两个季度无有效更新；信息披露逾期；关键人员疑似变化相关事项，投资方可要求公司在十个工作日内补充说明。若延误具有合理客观原因，公司应提供政府受理通知、客户延期邮件、检测机构排期、银行付款记录或其他可验证材料。</w:t>
      </w:r>
    </w:p>
    <w:p>
      <w:r>
        <w:t>补充约定13：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