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棱镜医疗投资协议（增强版POC模拟）</w:t>
      </w:r>
    </w:p>
    <w:tbl>
      <w:tblPr>
        <w:tblW w:type="auto" w:w="0"/>
        <w:tblLook w:firstColumn="1" w:firstRow="1" w:lastColumn="0" w:lastRow="0" w:noHBand="0" w:noVBand="1" w:val="04A0"/>
      </w:tblPr>
      <w:tblGrid>
        <w:gridCol w:w="4320"/>
        <w:gridCol w:w="4320"/>
      </w:tblGrid>
      <w:tr>
        <w:tc>
          <w:tcPr>
            <w:tcW w:type="dxa" w:w="4320"/>
          </w:tcPr>
          <w:p>
            <w:r>
              <w:t>协议编号</w:t>
            </w:r>
          </w:p>
        </w:tc>
        <w:tc>
          <w:tcPr>
            <w:tcW w:type="dxa" w:w="4320"/>
          </w:tcPr>
          <w:p>
            <w:r>
              <w:t>FF-INV-2025-P010</w:t>
            </w:r>
          </w:p>
        </w:tc>
      </w:tr>
      <w:tr>
        <w:tc>
          <w:tcPr>
            <w:tcW w:type="dxa" w:w="4320"/>
          </w:tcPr>
          <w:p>
            <w:r>
              <w:t>项目编号</w:t>
            </w:r>
          </w:p>
        </w:tc>
        <w:tc>
          <w:tcPr>
            <w:tcW w:type="dxa" w:w="4320"/>
          </w:tcPr>
          <w:p>
            <w:r>
              <w:t>P010</w:t>
            </w:r>
          </w:p>
        </w:tc>
      </w:tr>
      <w:tr>
        <w:tc>
          <w:tcPr>
            <w:tcW w:type="dxa" w:w="4320"/>
          </w:tcPr>
          <w:p>
            <w:r>
              <w:t>材料日期</w:t>
            </w:r>
          </w:p>
        </w:tc>
        <w:tc>
          <w:tcPr>
            <w:tcW w:type="dxa" w:w="4320"/>
          </w:tcPr>
          <w:p>
            <w:r>
              <w:t>2025-09-15</w:t>
            </w:r>
          </w:p>
        </w:tc>
      </w:tr>
      <w:tr>
        <w:tc>
          <w:tcPr>
            <w:tcW w:type="dxa" w:w="4320"/>
          </w:tcPr>
          <w:p>
            <w:r>
              <w:t>签署状态</w:t>
            </w:r>
          </w:p>
        </w:tc>
        <w:tc>
          <w:tcPr>
            <w:tcW w:type="dxa" w:w="4320"/>
          </w:tcPr>
          <w:p>
            <w:r>
              <w:t>模拟已签署</w:t>
            </w:r>
          </w:p>
        </w:tc>
      </w:tr>
    </w:tbl>
    <w:p>
      <w:pPr>
        <w:pStyle w:val="Heading2"/>
      </w:pPr>
      <w:r>
        <w:t>第一条 定义</w:t>
      </w:r>
    </w:p>
    <w:p>
      <w:r>
        <w:t>本协议由未来基金、成都棱镜医疗科技有限公司、创始股东及相关原股东于2025年9月15日签署。协议目的为约定未来基金对公司进行股权投资的安排以及交割后持续履约事项。</w:t>
      </w:r>
    </w:p>
    <w:p>
      <w:r>
        <w:t>交割日指投资款首期到达公司指定账户且公司完成交割确认之日；重大不利变化包括核心业务、关键人员、知识产权、财务状况、合规事项或上海落地承诺发生可能影响投资目的的变化；书面通知包括加盖公章文件、经确认的电子邮件及协议认可的其他形式。</w:t>
      </w:r>
    </w:p>
    <w:p>
      <w:pPr>
        <w:pStyle w:val="Heading2"/>
      </w:pPr>
      <w:r>
        <w:t>第二条 投资安排</w:t>
      </w:r>
    </w:p>
    <w:p>
      <w:r>
        <w:t>未来基金拟以现金方式认购公司新增注册资本，对应投资金额以交割文件为准。投后估值、持股比例和工商变更应在交割后按照公司章程和股东名册同步更新。除非投资方另行书面同意，公司不得将拟融资宣传材料替代正式投资协议或交割证明。</w:t>
      </w:r>
    </w:p>
    <w:p>
      <w:pPr>
        <w:pStyle w:val="Heading2"/>
      </w:pPr>
      <w:r>
        <w:t>第三条 先决条件与交割</w:t>
      </w:r>
    </w:p>
    <w:p>
      <w:r>
        <w:t>公司应在交割前完成内部决议、章程修订、知识产权权属确认、核心人员承诺、重大合同披露及不存在重大不利变化的确认。先决条件未满足的，投资方有权延迟付款或要求补充证明。</w:t>
      </w:r>
    </w:p>
    <w:p>
      <w:pPr>
        <w:pStyle w:val="Heading2"/>
      </w:pPr>
      <w:r>
        <w:t>第四条 上海落地与返投承诺</w:t>
      </w:r>
    </w:p>
    <w:p>
      <w:r>
        <w:t>4.1 公司确认本轮投资具有支持上海科技创新和产业导入的目的。4.2 除非投资方另行书面同意，公司应自交割日起六个月内设立上海子公司或完成约定的上海登记安排，并向投资方提供营业执照、章程或工商登记摘录。4.3 公司应自交割日起十二个月内在上海形成不少于20人的研发、交付或运营团队，证明材料包括劳动合同、社保缴纳、办公门禁、项目分工或投资方认可的其他材料。4.4 公司应每半年报告上海业务开展情况，包括客户、采购、设备、人员和收入。4.5 对于未在上海落地等情形，各方同意应按工商注册、实际经营、团队入驻和业务发生分别判断。</w:t>
      </w:r>
    </w:p>
    <w:p>
      <w:pPr>
        <w:pStyle w:val="Heading2"/>
      </w:pPr>
      <w:r>
        <w:t>第五条 信息披露</w:t>
      </w:r>
    </w:p>
    <w:p>
      <w:r>
        <w:t>5.1 公司应在每季度结束后30日内向投资方提交季度经营报告，内容包括研发、产品、客户、融资、财务、人员、上海落地、资金使用和重大事项。5.2 年度结束后120日内提交审计报告或经投资方认可的财务报表。5.3 新一轮融资启动、签署TS、签署正式协议、首次交割、全部交割及工商变更等节点应分别通知，不得以新闻稿替代正式通知。</w:t>
      </w:r>
    </w:p>
    <w:p>
      <w:pPr>
        <w:pStyle w:val="Heading2"/>
      </w:pPr>
      <w:r>
        <w:t>第六条 公司治理</w:t>
      </w:r>
    </w:p>
    <w:p>
      <w:r>
        <w:t>未来基金有权委派一名观察员列席董事会和股东会。公司召开会议应提前五个工作日发送议案、预算、财务和重大合同材料。关联交易、重大融资、对外担保、大额非预算支出、核心业务变更、知识产权转让等事项须取得投资方同意。</w:t>
      </w:r>
    </w:p>
    <w:p>
      <w:pPr>
        <w:pStyle w:val="Heading2"/>
      </w:pPr>
      <w:r>
        <w:t>第七条 关键人员</w:t>
      </w:r>
    </w:p>
    <w:p>
      <w:r>
        <w:t>创始人和核心技术负责人应保持全职任职。关键人员发生离职、岗位重大调整、长期无法履职或竞业限制争议时，公司应在十个工作日内书面通知投资方，并说明替代安排。未经投资方书面同意，公司不得大幅调整核心团队或转移核心知识产权。</w:t>
      </w:r>
    </w:p>
    <w:p>
      <w:pPr>
        <w:pStyle w:val="Heading2"/>
      </w:pPr>
      <w:r>
        <w:t>第八条 资金用途</w:t>
      </w:r>
    </w:p>
    <w:p>
      <w:r>
        <w:t>募集资金应主要用于研发、团队建设、业务拓展和上海落地事项，不得用于偿还股东借款、非经营性拆借、与主营业务无关的证券投资或其他未经批准用途。单笔超过年度预算10%的支出应履行内部审批并向投资方备案。</w:t>
      </w:r>
    </w:p>
    <w:p>
      <w:pPr>
        <w:pStyle w:val="Heading2"/>
      </w:pPr>
      <w:r>
        <w:t>第九条 陈述与保证</w:t>
      </w:r>
    </w:p>
    <w:p>
      <w:r>
        <w:t>公司及创始股东保证其披露的信息真实、准确、完整，不存在故意隐瞒重大事项。对外宣传材料如与正式文件不一致，不影响投资方根据正式协议、审计报告、工商登记和交割文件进行履约判断。</w:t>
      </w:r>
    </w:p>
    <w:p>
      <w:pPr>
        <w:pStyle w:val="Heading2"/>
      </w:pPr>
      <w:r>
        <w:t>第十条 违约责任和补救</w:t>
      </w:r>
    </w:p>
    <w:p>
      <w:r>
        <w:t>如公司未按期完成信息披露、上海落地、治理文件修订或关键人员通知义务，投资方有权要求限期整改、补充材料、召开专题会议或采取协议约定的其他救济措施。对于因政府审批、客户延期或不可抗力导致的延误，公司应及时说明并提供证明。</w:t>
      </w:r>
    </w:p>
    <w:p>
      <w:pPr>
        <w:pStyle w:val="Heading2"/>
      </w:pPr>
      <w:r>
        <w:t>第十一条 保密、通知与争议解决</w:t>
      </w:r>
    </w:p>
    <w:p>
      <w:r>
        <w:t>各方应对商业秘密、技术资料、财务数据和客户信息保密。通知以协议列明邮箱和地址为准。争议应先友好协商，协商不成提交上海仲裁委员会仲裁。</w:t>
      </w:r>
    </w:p>
    <w:p>
      <w:pPr>
        <w:pStyle w:val="Heading2"/>
      </w:pPr>
      <w:r>
        <w:t>附件一 时间表</w:t>
      </w:r>
    </w:p>
    <w:p>
      <w:r>
        <w:t>上海子公司注册、研发团队入驻、季度报告、审计报告、章程修订、工商变更、观察员安排、返投统计和资金使用报告等事项的截止日期，以交割日或事件发生日为起算日。</w:t>
      </w:r>
    </w:p>
    <w:p>
      <w:pPr>
        <w:pStyle w:val="Heading2"/>
      </w:pPr>
      <w:r>
        <w:t>补充条款1</w:t>
      </w:r>
    </w:p>
    <w:p>
      <w:r>
        <w:t>协议上下文和例外情形方面，第1项记录来自棱镜医疗在报告期内形成的管理口径资料。公司管理层通常强调项目推进的积极面，但在访谈中也提到供应链、客户排期、第三方测试窗口和正式证明材料之间存在时间差。该信息不能单独替代协议、工商登记、交割确认或审计材料，需要与后续附件交叉核验。</w:t>
      </w:r>
    </w:p>
    <w:p>
      <w:r>
        <w:t>协议上下文和例外情形方面，第2项记录来自棱镜医疗在报告期内形成的管理口径资料。公司管理层通常强调项目推进的积极面，但在访谈中也提到供应链、客户排期、第三方测试窗口和正式证明材料之间存在时间差。该信息不能单独替代协议、工商登记、交割确认或审计材料，需要与后续附件交叉核验。</w:t>
      </w:r>
    </w:p>
    <w:p>
      <w:r>
        <w:t>协议上下文和例外情形方面，第3项记录来自棱镜医疗在报告期内形成的管理口径资料。公司管理层通常强调项目推进的积极面，但在访谈中也提到供应链、客户排期、第三方测试窗口和正式证明材料之间存在时间差。该信息不能单独替代协议、工商登记、交割确认或审计材料，需要与后续附件交叉核验。</w:t>
      </w:r>
    </w:p>
    <w:p>
      <w:pPr>
        <w:pStyle w:val="Heading2"/>
      </w:pPr>
      <w:r>
        <w:t>补充条款2</w:t>
      </w:r>
    </w:p>
    <w:p>
      <w:r>
        <w:t>协议上下文和例外情形方面，第1项记录来自棱镜医疗在报告期内形成的管理口径资料。公司管理层通常强调项目推进的积极面，但在访谈中也提到供应链、客户排期、第三方测试窗口和正式证明材料之间存在时间差。该信息不能单独替代协议、工商登记、交割确认或审计材料，需要与后续附件交叉核验。</w:t>
      </w:r>
    </w:p>
    <w:p>
      <w:r>
        <w:t>协议上下文和例外情形方面，第2项记录来自棱镜医疗在报告期内形成的管理口径资料。公司管理层通常强调项目推进的积极面，但在访谈中也提到供应链、客户排期、第三方测试窗口和正式证明材料之间存在时间差。该信息不能单独替代协议、工商登记、交割确认或审计材料，需要与后续附件交叉核验。</w:t>
      </w:r>
    </w:p>
    <w:p>
      <w:r>
        <w:t>协议上下文和例外情形方面，第3项记录来自棱镜医疗在报告期内形成的管理口径资料。公司管理层通常强调项目推进的积极面，但在访谈中也提到供应链、客户排期、第三方测试窗口和正式证明材料之间存在时间差。该信息不能单独替代协议、工商登记、交割确认或审计材料，需要与后续附件交叉核验。</w:t>
      </w:r>
    </w:p>
    <w:p>
      <w:pPr>
        <w:pStyle w:val="Heading2"/>
      </w:pPr>
      <w:r>
        <w:t>补充条款3</w:t>
      </w:r>
    </w:p>
    <w:p>
      <w:r>
        <w:t>协议上下文和例外情形方面，第1项记录来自棱镜医疗在报告期内形成的管理口径资料。公司管理层通常强调项目推进的积极面，但在访谈中也提到供应链、客户排期、第三方测试窗口和正式证明材料之间存在时间差。该信息不能单独替代协议、工商登记、交割确认或审计材料，需要与后续附件交叉核验。</w:t>
      </w:r>
    </w:p>
    <w:p>
      <w:r>
        <w:t>协议上下文和例外情形方面，第2项记录来自棱镜医疗在报告期内形成的管理口径资料。公司管理层通常强调项目推进的积极面，但在访谈中也提到供应链、客户排期、第三方测试窗口和正式证明材料之间存在时间差。该信息不能单独替代协议、工商登记、交割确认或审计材料，需要与后续附件交叉核验。</w:t>
      </w:r>
    </w:p>
    <w:p>
      <w:r>
        <w:t>协议上下文和例外情形方面，第3项记录来自棱镜医疗在报告期内形成的管理口径资料。公司管理层通常强调项目推进的积极面，但在访谈中也提到供应链、客户排期、第三方测试窗口和正式证明材料之间存在时间差。该信息不能单独替代协议、工商登记、交割确认或审计材料，需要与后续附件交叉核验。</w:t>
      </w:r>
    </w:p>
    <w:p>
      <w:pPr>
        <w:pStyle w:val="Heading2"/>
      </w:pPr>
      <w:r>
        <w:t>补充条款4</w:t>
      </w:r>
    </w:p>
    <w:p>
      <w:r>
        <w:t>协议上下文和例外情形方面，第1项记录来自棱镜医疗在报告期内形成的管理口径资料。公司管理层通常强调项目推进的积极面，但在访谈中也提到供应链、客户排期、第三方测试窗口和正式证明材料之间存在时间差。该信息不能单独替代协议、工商登记、交割确认或审计材料，需要与后续附件交叉核验。</w:t>
      </w:r>
    </w:p>
    <w:p>
      <w:r>
        <w:t>协议上下文和例外情形方面，第2项记录来自棱镜医疗在报告期内形成的管理口径资料。公司管理层通常强调项目推进的积极面，但在访谈中也提到供应链、客户排期、第三方测试窗口和正式证明材料之间存在时间差。该信息不能单独替代协议、工商登记、交割确认或审计材料，需要与后续附件交叉核验。</w:t>
      </w:r>
    </w:p>
    <w:p>
      <w:r>
        <w:t>协议上下文和例外情形方面，第3项记录来自棱镜医疗在报告期内形成的管理口径资料。公司管理层通常强调项目推进的积极面，但在访谈中也提到供应链、客户排期、第三方测试窗口和正式证明材料之间存在时间差。该信息不能单独替代协议、工商登记、交割确认或审计材料，需要与后续附件交叉核验。</w:t>
      </w:r>
    </w:p>
    <w:p>
      <w:pPr>
        <w:pStyle w:val="Heading2"/>
      </w:pPr>
      <w:r>
        <w:t>增强补充：持续跟踪和信息核验条款</w:t>
      </w:r>
    </w:p>
    <w:p>
      <w:pPr>
        <w:pStyle w:val="Heading3"/>
      </w:pPr>
      <w:r>
        <w:t>第十二条 信息核验和材料优先级</w:t>
      </w:r>
    </w:p>
    <w:p>
      <w:r>
        <w:t>补充约定1：各方确认，棱镜医疗围绕多光谱成像器械开展业务时形成的技术资料、客户材料、融资材料、工商材料和财务材料具有不同证明力。若企业商业计划书、新闻稿、会议口头说明与正式协议、工商登记或交割文件不一致，应保留全部来源并在投后管理系统中标记冲突，不得简单删除低优先级信息。</w:t>
      </w:r>
    </w:p>
    <w:p>
      <w:r>
        <w:t>补充约定2：各方确认，棱镜医疗围绕多光谱成像器械开展业务时形成的技术资料、客户材料、融资材料、工商材料和财务材料具有不同证明力。若企业商业计划书、新闻稿、会议口头说明与正式协议、工商登记或交割文件不一致，应保留全部来源并在投后管理系统中标记冲突，不得简单删除低优先级信息。</w:t>
      </w:r>
    </w:p>
    <w:p>
      <w:r>
        <w:t>补充约定3：各方确认，棱镜医疗围绕多光谱成像器械开展业务时形成的技术资料、客户材料、融资材料、工商材料和财务材料具有不同证明力。若企业商业计划书、新闻稿、会议口头说明与正式协议、工商登记或交割文件不一致，应保留全部来源并在投后管理系统中标记冲突，不得简单删除低优先级信息。</w:t>
      </w:r>
    </w:p>
    <w:p>
      <w:r>
        <w:t>补充约定4：各方确认，棱镜医疗围绕多光谱成像器械开展业务时形成的技术资料、客户材料、融资材料、工商材料和财务材料具有不同证明力。若企业商业计划书、新闻稿、会议口头说明与正式协议、工商登记或交割文件不一致，应保留全部来源并在投后管理系统中标记冲突，不得简单删除低优先级信息。</w:t>
      </w:r>
    </w:p>
    <w:p>
      <w:pPr>
        <w:pStyle w:val="Heading3"/>
      </w:pPr>
      <w:r>
        <w:t>第十三条 口径差异处理</w:t>
      </w:r>
    </w:p>
    <w:p>
      <w:r>
        <w:t>补充约定5：各方确认，棱镜医疗围绕多光谱成像器械开展业务时形成的技术资料、客户材料、融资材料、工商材料和财务材料具有不同证明力。若企业商业计划书、新闻稿、会议口头说明与正式协议、工商登记或交割文件不一致，应保留全部来源并在投后管理系统中标记冲突，不得简单删除低优先级信息。</w:t>
      </w:r>
    </w:p>
    <w:p>
      <w:r>
        <w:t>补充约定6：各方确认，棱镜医疗围绕多光谱成像器械开展业务时形成的技术资料、客户材料、融资材料、工商材料和财务材料具有不同证明力。若企业商业计划书、新闻稿、会议口头说明与正式协议、工商登记或交割文件不一致，应保留全部来源并在投后管理系统中标记冲突，不得简单删除低优先级信息。</w:t>
      </w:r>
    </w:p>
    <w:p>
      <w:r>
        <w:t>补充约定7：各方确认，棱镜医疗围绕多光谱成像器械开展业务时形成的技术资料、客户材料、融资材料、工商材料和财务材料具有不同证明力。若企业商业计划书、新闻稿、会议口头说明与正式协议、工商登记或交割文件不一致，应保留全部来源并在投后管理系统中标记冲突，不得简单删除低优先级信息。</w:t>
      </w:r>
    </w:p>
    <w:p>
      <w:r>
        <w:t>补充约定8：各方确认，棱镜医疗围绕多光谱成像器械开展业务时形成的技术资料、客户材料、融资材料、工商材料和财务材料具有不同证明力。若企业商业计划书、新闻稿、会议口头说明与正式协议、工商登记或交割文件不一致，应保留全部来源并在投后管理系统中标记冲突，不得简单删除低优先级信息。</w:t>
      </w:r>
    </w:p>
    <w:p>
      <w:pPr>
        <w:pStyle w:val="Heading3"/>
      </w:pPr>
      <w:r>
        <w:t>第十四条 上海事项专项证明</w:t>
      </w:r>
    </w:p>
    <w:p>
      <w:r>
        <w:t>补充约定9：各方确认，棱镜医疗围绕多光谱成像器械开展业务时形成的技术资料、客户材料、融资材料、工商材料和财务材料具有不同证明力。若企业商业计划书、新闻稿、会议口头说明与正式协议、工商登记或交割文件不一致，应保留全部来源并在投后管理系统中标记冲突，不得简单删除低优先级信息。</w:t>
      </w:r>
    </w:p>
    <w:p>
      <w:r>
        <w:t>补充约定10：各方确认，棱镜医疗围绕多光谱成像器械开展业务时形成的技术资料、客户材料、融资材料、工商材料和财务材料具有不同证明力。若企业商业计划书、新闻稿、会议口头说明与正式协议、工商登记或交割文件不一致，应保留全部来源并在投后管理系统中标记冲突，不得简单删除低优先级信息。</w:t>
      </w:r>
    </w:p>
    <w:p>
      <w:r>
        <w:t>补充约定11：各方确认，棱镜医疗围绕多光谱成像器械开展业务时形成的技术资料、客户材料、融资材料、工商材料和财务材料具有不同证明力。若企业商业计划书、新闻稿、会议口头说明与正式协议、工商登记或交割文件不一致，应保留全部来源并在投后管理系统中标记冲突，不得简单删除低优先级信息。</w:t>
      </w:r>
    </w:p>
    <w:p>
      <w:r>
        <w:t>补充约定12：各方确认，棱镜医疗围绕多光谱成像器械开展业务时形成的技术资料、客户材料、融资材料、工商材料和财务材料具有不同证明力。若企业商业计划书、新闻稿、会议口头说明与正式协议、工商登记或交割文件不一致，应保留全部来源并在投后管理系统中标记冲突，不得简单删除低优先级信息。</w:t>
      </w:r>
    </w:p>
    <w:p>
      <w:pPr>
        <w:pStyle w:val="Heading3"/>
      </w:pPr>
      <w:r>
        <w:t>第十五条 违约整改与宽限安排</w:t>
      </w:r>
    </w:p>
    <w:p>
      <w:r>
        <w:t>如棱镜医疗出现非专题；医疗器械注册受理；缺少检测附件相关事项，投资方可要求公司在十个工作日内补充说明。若延误具有合理客观原因，公司应提供政府受理通知、客户延期邮件、检测机构排期、银行付款记录或其他可验证材料。</w:t>
      </w:r>
    </w:p>
    <w:p>
      <w:r>
        <w:t>补充约定13：各方确认，棱镜医疗围绕多光谱成像器械开展业务时形成的技术资料、客户材料、融资材料、工商材料和财务材料具有不同证明力。若企业商业计划书、新闻稿、会议口头说明与正式协议、工商登记或交割文件不一致，应保留全部来源并在投后管理系统中标记冲突，不得简单删除低优先级信息。</w:t>
      </w:r>
    </w:p>
    <w:p>
      <w:r>
        <w:t>补充约定14：各方确认，棱镜医疗围绕多光谱成像器械开展业务时形成的技术资料、客户材料、融资材料、工商材料和财务材料具有不同证明力。若企业商业计划书、新闻稿、会议口头说明与正式协议、工商登记或交割文件不一致，应保留全部来源并在投后管理系统中标记冲突，不得简单删除低优先级信息。</w:t>
      </w:r>
    </w:p>
    <w:p>
      <w:r>
        <w:t>补充约定15：各方确认，棱镜医疗围绕多光谱成像器械开展业务时形成的技术资料、客户材料、融资材料、工商材料和财务材料具有不同证明力。若企业商业计划书、新闻稿、会议口头说明与正式协议、工商登记或交割文件不一致，应保留全部来源并在投后管理系统中标记冲突，不得简单删除低优先级信息。</w:t>
      </w:r>
    </w:p>
    <w:p>
      <w:pPr>
        <w:pStyle w:val="Heading3"/>
      </w:pPr>
      <w:r>
        <w:t>第十六条 附件清单和持续披露</w:t>
      </w:r>
    </w:p>
    <w:p>
      <w:r>
        <w:t>补充约定16：各方确认，棱镜医疗围绕多光谱成像器械开展业务时形成的技术资料、客户材料、融资材料、工商材料和财务材料具有不同证明力。若企业商业计划书、新闻稿、会议口头说明与正式协议、工商登记或交割文件不一致，应保留全部来源并在投后管理系统中标记冲突，不得简单删除低优先级信息。</w:t>
      </w:r>
    </w:p>
    <w:p>
      <w:r>
        <w:t>协议附件包括季度报告模板、资金使用表、上海落地证明清单、关键人员承诺函、知识产权清单、客户合同摘要和融资节点通知模板。公司应持续维护附件版本，确保每个重要字段可追溯至具体材料、章节、日期和责任人。</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icrosoft YaHei" w:hAnsi="Microsoft YaHe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