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谱元生物股东会决议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</w:tbl>
    <w:p>
      <w:pPr>
        <w:pStyle w:val="Heading2"/>
      </w:pPr>
      <w:r>
        <w:t>决议</w:t>
      </w:r>
    </w:p>
    <w:p>
      <w:r>
        <w:t>同意章程修订及投资方观察员安排。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