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星澜计算股东协议（增强版POC模拟）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FF-SHA-2025-P001</w:t>
            </w:r>
          </w:p>
        </w:tc>
      </w:tr>
      <w:tr>
        <w:tc>
          <w:tcPr>
            <w:tcW w:type="dxa" w:w="4320"/>
          </w:tcPr>
          <w:p>
            <w:r>
              <w:t>项目编号</w:t>
            </w:r>
          </w:p>
        </w:tc>
        <w:tc>
          <w:tcPr>
            <w:tcW w:type="dxa" w:w="4320"/>
          </w:tcPr>
          <w:p>
            <w:r>
              <w:t>P001</w:t>
            </w:r>
          </w:p>
        </w:tc>
      </w:tr>
    </w:tbl>
    <w:p>
      <w:pPr>
        <w:pStyle w:val="Heading2"/>
      </w:pPr>
      <w:r>
        <w:t>第一条 定义</w:t>
      </w:r>
    </w:p>
    <w:p>
      <w:r>
        <w:t>本协议由未来基金、上海星澜计算科技有限公司、创始股东及相关原股东于2025年9月15日签署。协议目的为约定未来基金对公司进行股权投资的安排以及交割后持续履约事项。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对于总部已注册在上海并实际经营等情形，各方同意应按工商注册、实际经营、团队入驻和业务发生分别判断。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增强补充：持续跟踪和信息核验条款</w:t>
      </w:r>
    </w:p>
    <w:p>
      <w:pPr>
        <w:pStyle w:val="Heading3"/>
      </w:pPr>
      <w:r>
        <w:t>第十二条 信息核验和材料优先级</w:t>
      </w:r>
    </w:p>
    <w:p>
      <w:r>
        <w:t>补充约定1：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星澜计算围绕AI材料模拟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