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原矩量子股东协议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</w:tbl>
    <w:p>
      <w:pPr>
        <w:pStyle w:val="Heading2"/>
      </w:pPr>
      <w:r>
        <w:t>治理安排</w:t>
      </w:r>
    </w:p>
    <w:p>
      <w:r>
        <w:t>未来基金享有知情权、检查权、观察员席位及重大事项同意权。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