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棱镜医疗股东协议（增强版POC模拟）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FF-SHA-2025-P010</w:t>
            </w:r>
          </w:p>
        </w:tc>
      </w:tr>
      <w:tr>
        <w:tc>
          <w:tcPr>
            <w:tcW w:type="dxa" w:w="4320"/>
          </w:tcPr>
          <w:p>
            <w:r>
              <w:t>项目编号</w:t>
            </w:r>
          </w:p>
        </w:tc>
        <w:tc>
          <w:tcPr>
            <w:tcW w:type="dxa" w:w="4320"/>
          </w:tcPr>
          <w:p>
            <w:r>
              <w:t>P010</w:t>
            </w:r>
          </w:p>
        </w:tc>
      </w:tr>
    </w:tbl>
    <w:p>
      <w:pPr>
        <w:pStyle w:val="Heading2"/>
      </w:pPr>
      <w:r>
        <w:t>第一条 定义</w:t>
      </w:r>
    </w:p>
    <w:p>
      <w:r>
        <w:t>本协议由未来基金、成都棱镜医疗科技有限公司、创始股东及相关原股东于2025年9月15日签署。协议目的为约定未来基金对公司进行股权投资的安排以及交割后持续履约事项。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对于未在上海落地等情形，各方同意应按工商注册、实际经营、团队入驻和业务发生分别判断。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