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14:00-17:10；地点：线上会议及上海会议室；召集人：董事长；参会人员：创始人、财务负责人、研发负责人、GP代表、未来基金观察员陈序等。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AI材料模拟业务进展，强调完成工程样机并通过内部测试，新增2件发明专利授权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星澜计算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星澜计算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AI材料模拟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会议形成一致意见：明确AI for Science；完成工程样机；新增专利需要通过两份或以上材料交叉验证，不能仅凭单份材料下结论。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