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辰析生物2026Q2董事会会议纪要（增强版）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2026-07-05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</w:tbl>
    <w:p>
      <w:pPr>
        <w:pStyle w:val="Heading2"/>
      </w:pPr>
      <w:r>
        <w:t>会议基本信息</w:t>
      </w:r>
    </w:p>
    <w:p>
      <w:r>
        <w:t>会议时间：2026-07-05 14:00-17:10；地点：线上会议及杭州/上海会议室；召集人：董事长；参会人员：创始人、财务负责人、研发负责人、GP代表、未来基金观察员王榕等。</w:t>
      </w:r>
    </w:p>
    <w:p>
      <w:pPr>
        <w:pStyle w:val="Heading2"/>
      </w:pPr>
      <w:r>
        <w:t>会议议程</w:t>
      </w:r>
    </w:p>
    <w:p>
      <w:r>
        <w:t>一是管理层汇报2026年上半年经营情况；二是讨论融资和现金计划；三是复核上海落地、信息披露和治理事项；四是审议预算调整和客户项目资源投入；五是形成后续行动项。</w:t>
      </w:r>
    </w:p>
    <w:p>
      <w:pPr>
        <w:pStyle w:val="Heading2"/>
      </w:pPr>
      <w:r>
        <w:t>管理层汇报</w:t>
      </w:r>
    </w:p>
    <w:p>
      <w:r>
        <w:t>管理层首先介绍AI蛋白设计业务进展，强调引入海启医药，A+轮完成首期交割。财务负责人说明收入、回款和费用节奏存在差异，部分收入需要客户验收后确认。研发负责人说明工程化或客户适配仍需供应商和客户现场配合。</w:t>
      </w:r>
    </w:p>
    <w:p>
      <w:pPr>
        <w:pStyle w:val="Heading2"/>
      </w:pPr>
      <w:r>
        <w:t>核心事项讨论</w:t>
      </w:r>
    </w:p>
    <w:p>
      <w:r>
        <w:t>未来基金观察员询问融资文件、客户订单、上海证明和关键人员安排。管理层多次使用“基本谈妥”“预计近期可以完成”“还在走流程”等表述。董事会认为这些表述可以作为跟进线索，但不能替代正式证明。</w:t>
      </w:r>
    </w:p>
    <w:p>
      <w:pPr>
        <w:pStyle w:val="Heading2"/>
      </w:pPr>
      <w:r>
        <w:t>不同意见</w:t>
      </w:r>
    </w:p>
    <w:p>
      <w:r>
        <w:t>产业方董事关注客户订单约束力，财务董事关注现金余额和预算偏差，GP代表要求补齐季度报告附件。对于个别尚无正式文件的事项，会议决定暂缓认定为完成。</w:t>
      </w:r>
    </w:p>
    <w:p>
      <w:pPr>
        <w:pStyle w:val="Heading2"/>
      </w:pPr>
      <w:r>
        <w:t>表决事项</w:t>
      </w:r>
    </w:p>
    <w:p>
      <w:r>
        <w:t>会议同意继续推进客户验证和融资沟通；同意财务部门在两周内补充资金使用明细；同意投后联系人向未来基金提交上海落地材料清单。</w:t>
      </w:r>
    </w:p>
    <w:p>
      <w:pPr>
        <w:pStyle w:val="Heading2"/>
      </w:pPr>
      <w:r>
        <w:t>行动项</w:t>
      </w:r>
    </w:p>
    <w:p>
      <w:r>
        <w:t>1. 财务负责人8月5日前提交银行流水摘要；2. 行政负责人7月31日前补充上海租赁或社保证明；3. 融资负责人提供TS、交割确认和股东名册；4. 研发负责人补充测试报告。</w:t>
      </w:r>
    </w:p>
    <w:p>
      <w:pPr>
        <w:pStyle w:val="Heading2"/>
      </w:pPr>
      <w:r>
        <w:t>增强补充：会议详细讨论记录</w:t>
      </w:r>
    </w:p>
    <w:p>
      <w:pPr>
        <w:pStyle w:val="Heading3"/>
      </w:pPr>
      <w:r>
        <w:t>补充讨论一：融资与现金流</w:t>
      </w:r>
    </w:p>
    <w:p>
      <w:r>
        <w:t>董事会进一步询问辰析生物融资推进的具体节点。管理层说明部分投资人已完成商务沟通，但董事要求区分融资意向、TS、正式协议、首次交割、全部交割和工商变更。财务负责人补充，现金流压力主要来自研发人员薪酬、外协测试和客户现场支持，若融资交割延后，需要调整付款节奏，但该讨论不等同于项目经营失败结论。</w:t>
      </w:r>
    </w:p>
    <w:p>
      <w:r>
        <w:t>未来基金观察员要求在会后提供银行流水摘要、预算实际对比表和应收账款账龄表，并明确哪些收入已满足验收条件。</w:t>
      </w:r>
    </w:p>
    <w:p>
      <w:pPr>
        <w:pStyle w:val="Heading3"/>
      </w:pPr>
      <w:r>
        <w:t>补充讨论二：上海落地与返投</w:t>
      </w:r>
    </w:p>
    <w:p>
      <w:r>
        <w:t>围绕上海事项，会议明确不得将落地意向、临时办公室、工商注册、社保入驻和实际经营混为同一概念。辰析生物应按投资协议分别提交营业执照或工商摘录、租赁合同、员工社保、采购合同、付款流水和本地业务说明。</w:t>
      </w:r>
    </w:p>
    <w:p>
      <w:r>
        <w:t>对于仅有口头计划或新闻报道的事项，董事会同意暂列待确认；对于已超过截止日期但缺少正式证明的事项，应进入红色或黄色跟踪，并设置整改时间。</w:t>
      </w:r>
    </w:p>
    <w:p>
      <w:pPr>
        <w:pStyle w:val="Heading3"/>
      </w:pPr>
      <w:r>
        <w:t>补充讨论三：研发、客户和附件</w:t>
      </w:r>
    </w:p>
    <w:p>
      <w:r>
        <w:t>研发负责人围绕AI蛋白设计介绍了样机、测试和客户适配进展。董事要求研发团队在下次会议前提交测试报告目录、问题清单和客户反馈原文摘录。客户负责人说明部分客户验证晚于原计划，原因包括客户现场排期、法务合同流程和检测窗口不足。</w:t>
      </w:r>
    </w:p>
    <w:p>
      <w:r>
        <w:t>会议形成一致意见：AI for Science；A+轮；客户验证完成；引入战略投资人需要通过两份或以上材料交叉验证，不能仅凭单份材料下结论。</w:t>
      </w:r>
    </w:p>
    <w:p>
      <w:pPr>
        <w:pStyle w:val="Heading3"/>
      </w:pPr>
      <w:r>
        <w:t>补充行动项</w:t>
      </w:r>
    </w:p>
    <w:p>
      <w:r>
        <w:t>1. 投后联系人在2026-07-31前提交附件清单；2. 财务负责人在2026-08-05前提交银行流水和预算对比；3. 研发负责人在2026-08-10前提交测试报告；4. GP在2026-08-12前更新协议履约表；5. 未来基金项目负责人将红色和灰色事项提交投后例会。</w:t>
      </w:r>
    </w:p>
    <w:p>
      <w:r>
        <w:t>会议秘书需将上述行动项纳入下一次董事会材料，未完成事项不得在季度报告中直接表述为已完成。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