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14:00-17:10；地点：线上会议及上海会议室；召集人：董事长；参会人员：创始人、财务负责人、研发负责人、GP代表、未来基金观察员周闻等。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量子密钥分发网关业务进展，强调签署首个商业订单，上海采购设备520万元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云弦量子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云弦量子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量子密钥分发网关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会议形成一致意见：量子早期上海落地；签署首个商业订单；返投完成需要通过两份或以上材料交叉验证，不能仅凭单份材料下结论。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