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14:00-17:10；地点：线上会议及广州/上海会议室；召集人：董事长；参会人员：创始人、财务负责人、研发负责人、GP代表、未来基金观察员陈序等。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AI酶工程业务进展，强调Pre-A轮首期交割，返投统计与银行流水口径不一致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谱元生物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谱元生物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AI酶工程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会议形成一致意见：AI for Science；融资协议未全额交割；返投金额口径冲突需要通过两份或以上材料交叉验证，不能仅凭单份材料下结论。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