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14:00-17:10；地点：线上会议及武汉/上海会议室；召集人：董事长；参会人员：创始人、财务负责人、研发负责人、GP代表、未来基金观察员王榕等。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产线数字化业务进展，强调新闻称量子级加密制造云，技术资料显示为普通TLS；上海落地延期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拓界智造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拓界智造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产线数字化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会议形成一致意见：量子概念排除；融资轮次冲突；战略投资人未进入股东名册需要通过两份或以上材料交叉验证，不能仅凭单份材料下结论。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