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原矩量子上海落地及返投补充协议（增强版）</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FF-SUP-2026-P002</w:t>
            </w:r>
          </w:p>
        </w:tc>
      </w:tr>
      <w:tr>
        <w:tc>
          <w:tcPr>
            <w:tcW w:type="dxa" w:w="4320"/>
          </w:tcPr>
          <w:p>
            <w:r>
              <w:t>项目编号</w:t>
            </w:r>
          </w:p>
        </w:tc>
        <w:tc>
          <w:tcPr>
            <w:tcW w:type="dxa" w:w="4320"/>
          </w:tcPr>
          <w:p>
            <w:r>
              <w:t>P002</w:t>
            </w:r>
          </w:p>
        </w:tc>
      </w:tr>
    </w:tbl>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对于上海子公司已注册，部分研发入驻等情形，各方同意应按工商注册、实际经营、团队入驻和业务发生分别判断。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增强补充：上海落地返投核验细则</w:t>
      </w:r>
    </w:p>
    <w:p>
      <w:pPr>
        <w:pStyle w:val="Heading3"/>
      </w:pPr>
      <w:r>
        <w:t>第十四条 上海事项专项证明</w:t>
      </w:r>
    </w:p>
    <w:p>
      <w:r>
        <w:t>补充约定9：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原矩量子出现量子早期；上海工商完成；融资新闻A+与股东名册A轮追加冲突相关事项，投资方可要求公司在十个工作日内补充说明。若延误具有合理客观原因，公司应提供政府受理通知、客户延期邮件、检测机构排期、银行付款记录或其他可验证材料。</w:t>
      </w:r>
    </w:p>
    <w:p>
      <w:r>
        <w:t>补充约定13：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