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谱元生物上海落地及返投补充协议（增强版）</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FF-SUP-2026-P009</w:t>
            </w:r>
          </w:p>
        </w:tc>
      </w:tr>
      <w:tr>
        <w:tc>
          <w:tcPr>
            <w:tcW w:type="dxa" w:w="4320"/>
          </w:tcPr>
          <w:p>
            <w:r>
              <w:t>项目编号</w:t>
            </w:r>
          </w:p>
        </w:tc>
        <w:tc>
          <w:tcPr>
            <w:tcW w:type="dxa" w:w="4320"/>
          </w:tcPr>
          <w:p>
            <w:r>
              <w:t>P009</w:t>
            </w:r>
          </w:p>
        </w:tc>
      </w:tr>
    </w:tbl>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对于上海子公司工商注册但人员和试生产证明不足等情形，各方同意应按工商注册、实际经营、团队入驻和业务发生分别判断。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第十一条 保密、通知与争议解决</w:t>
      </w:r>
    </w:p>
    <w:p>
      <w:r>
        <w:t>各方应对商业秘密、技术资料、财务数据和客户信息保密。通知以协议列明邮箱和地址为准。争议应先友好协商，协商不成提交上海仲裁委员会仲裁。</w:t>
      </w:r>
    </w:p>
    <w:p>
      <w:pPr>
        <w:pStyle w:val="Heading2"/>
      </w:pPr>
      <w:r>
        <w:t>附件一 时间表</w:t>
      </w:r>
    </w:p>
    <w:p>
      <w:r>
        <w:t>上海子公司注册、研发团队入驻、季度报告、审计报告、章程修订、工商变更、观察员安排、返投统计和资金使用报告等事项的截止日期，以交割日或事件发生日为起算日。</w:t>
      </w:r>
    </w:p>
    <w:p>
      <w:pPr>
        <w:pStyle w:val="Heading2"/>
      </w:pPr>
      <w:r>
        <w:t>增强补充：上海落地返投核验细则</w:t>
      </w:r>
    </w:p>
    <w:p>
      <w:pPr>
        <w:pStyle w:val="Heading3"/>
      </w:pPr>
      <w:r>
        <w:t>第十四条 上海事项专项证明</w:t>
      </w:r>
    </w:p>
    <w:p>
      <w:r>
        <w:t>补充约定9：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第十五条 违约整改与宽限安排</w:t>
      </w:r>
    </w:p>
    <w:p>
      <w:r>
        <w:t>如谱元生物出现AI for Science；融资协议未全额交割；返投金额口径冲突相关事项，投资方可要求公司在十个工作日内补充说明。若延误具有合理客观原因，公司应提供政府受理通知、客户延期邮件、检测机构排期、银行付款记录或其他可验证材料。</w:t>
      </w:r>
    </w:p>
    <w:p>
      <w:r>
        <w:t>补充约定13：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14：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15：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第十六条 附件清单和持续披露</w:t>
      </w:r>
    </w:p>
    <w:p>
      <w:r>
        <w:t>补充约定16：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协议附件包括季度报告模板、资金使用表、上海落地证明清单、关键人员承诺函、知识产权清单、客户合同摘要和融资节点通知模板。公司应持续维护附件版本，确保每个重要字段可追溯至具体材料、章节、日期和责任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