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辰析生物融资方案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P004</w:t>
            </w:r>
          </w:p>
        </w:tc>
      </w:tr>
    </w:tbl>
    <w:p>
      <w:pPr>
        <w:pStyle w:val="Heading2"/>
      </w:pPr>
      <w:r>
        <w:t>融资节点</w:t>
      </w:r>
    </w:p>
    <w:p>
      <w:r>
        <w:t>计划轮次：A+轮。需区分TS、正式协议、交割和工商变更。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