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序智软件办公租赁合同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</w:tbl>
    <w:p>
      <w:pPr>
        <w:pStyle w:val="Heading2"/>
      </w:pPr>
      <w:r>
        <w:t>租赁信息</w:t>
      </w:r>
    </w:p>
    <w:p>
      <w:r>
        <w:t>租赁不能替代工商注册、社保或实际经营证据。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