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40" w:line="240" w:lineRule="auto"/>
        <w:jc w:val="left"/>
        <w:pBdr>
          <w:top w:val="nil"/>
          <w:left w:val="nil"/>
          <w:bottom w:val="nil"/>
          <w:right w:val="nil"/>
          <w:between w:val="nil"/>
          <w:bar w:val="nil"/>
        </w:pBdr>
      </w:pPr>
      <w:r>
        <w:rPr>
          <w:rFonts w:ascii="Arial" w:hAnsi="Arial" w:eastAsia="Microsoft YaHei" w:cs="Arial"/>
          <w:b/>
          <w:color w:val="000000"/>
          <w:sz w:val="28"/>
          <w:szCs w:val="28"/>
        </w:rPr>
        <w:t>问界合作模式调整 Research 验证样张</w:t>
      </w:r>
    </w:p>
    <w:p>
      <w:pPr>
        <w:spacing w:before="0" w:after="320" w:line="240" w:lineRule="auto"/>
      </w:pPr>
      <w:r>
        <w:rPr>
          <w:rFonts w:ascii="Arial" w:hAnsi="Arial" w:eastAsia="Microsoft YaHei" w:cs="Arial"/>
          <w:b w:val="0"/>
          <w:color w:val="000000"/>
          <w:sz w:val="28"/>
          <w:szCs w:val="28"/>
        </w:rPr>
        <w:t>2026年9月16日</w:t>
      </w:r>
    </w:p>
    <w:p>
      <w:pPr>
        <w:spacing w:before="0" w:after="100" w:line="300" w:lineRule="auto"/>
      </w:pPr>
      <w:r>
        <w:rPr>
          <w:rFonts w:ascii="Arial" w:hAnsi="Arial" w:eastAsia="Microsoft YaHei" w:cs="Arial"/>
          <w:b/>
          <w:color w:val="000000"/>
          <w:sz w:val="28"/>
          <w:szCs w:val="28"/>
        </w:rPr>
        <w:t>问界开始独立运营：授权经销商合作协议主体由华为终端转为赛力斯</w:t>
      </w:r>
    </w:p>
    <w:p>
      <w:pPr>
        <w:spacing w:before="0" w:after="200" w:line="240" w:lineRule="auto"/>
      </w:pPr>
      <w:hyperlink r:id="rId9">
        <w:r>
          <w:rPr>
            <w:rFonts w:ascii="Arial" w:hAnsi="Arial" w:eastAsia="Microsoft YaHei" w:cs="Arial"/>
            <w:color w:val="0000FF"/>
            <w:u w:val="single"/>
            <w:sz w:val="28"/>
            <w:szCs w:val="28"/>
          </w:rPr>
          <w:t>https://article.pchome.net/news/16018.html</w:t>
        </w:r>
      </w:hyperlink>
    </w:p>
    <w:p>
      <w:pPr>
        <w:numPr>
          <w:ilvl w:val="0"/>
          <w:numId w:val="10"/>
        </w:numPr>
        <w:spacing w:before="0" w:after="160" w:line="324" w:lineRule="auto"/>
      </w:pPr>
      <w:r>
        <w:rPr>
          <w:rFonts w:ascii="Arial" w:hAnsi="Arial" w:eastAsia="Microsoft YaHei" w:cs="Arial"/>
          <w:b/>
          <w:color w:val="000000"/>
          <w:sz w:val="28"/>
          <w:szCs w:val="28"/>
        </w:rPr>
        <w:t>运营主导权与渠道合同同步转移：</w:t>
      </w:r>
      <w:r>
        <w:rPr>
          <w:rFonts w:ascii="Arial" w:hAnsi="Arial" w:eastAsia="Microsoft YaHei" w:cs="Arial"/>
          <w:b w:val="0"/>
          <w:color w:val="000000"/>
          <w:sz w:val="28"/>
          <w:szCs w:val="28"/>
        </w:rPr>
        <w:t>问界仍保留鸿蒙智行核心品牌身份，但产品定义、设计、品牌营销、渠道零售和服务体系改由赛力斯主导，华为终端转为赋能角色。自2026年9月16日起，经销商综合服务合作协议签署主体也由华为终端变更为赛力斯汽车关联公司，说明调整已经从治理分工落到渠道合同关系。</w:t>
      </w:r>
    </w:p>
    <w:p>
      <w:pPr>
        <w:numPr>
          <w:ilvl w:val="0"/>
          <w:numId w:val="10"/>
        </w:numPr>
        <w:spacing w:before="0" w:after="160" w:line="324" w:lineRule="auto"/>
      </w:pPr>
      <w:r>
        <w:rPr>
          <w:rFonts w:ascii="Arial" w:hAnsi="Arial" w:eastAsia="Microsoft YaHei" w:cs="Arial"/>
          <w:b/>
          <w:color w:val="000000"/>
          <w:sz w:val="28"/>
          <w:szCs w:val="28"/>
        </w:rPr>
        <w:t>交接按订单时间切割并承诺用户服务连续：</w:t>
      </w:r>
      <w:r>
        <w:rPr>
          <w:rFonts w:ascii="Arial" w:hAnsi="Arial" w:eastAsia="Microsoft YaHei" w:cs="Arial"/>
          <w:b w:val="0"/>
          <w:color w:val="000000"/>
          <w:sz w:val="28"/>
          <w:szCs w:val="28"/>
        </w:rPr>
        <w:t>2026年9月16日前产生的订单，包括已下单但未交付车辆，其综合服务费仍由华为结算；当日及之后新增订单改由赛力斯负责。与此同时，品牌定位、渠道授权、商务规则和门店运营标准保持不变，存量用户权益、车辆质保和OTA升级承诺不受影响，专属专营模式由此成为本次调整的主要落地方向。</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Arial" w:hAnsi="Arial" w:eastAsia="Microsoft YaHe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s="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ticle.pchome.net/news/160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问界合作模式调整 Research 验证样张</dc:title>
  <dc:subject>Gao Feng Research workflow validation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