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3F9C1" w14:textId="52F17FDC" w:rsidR="007856B1" w:rsidRPr="007856B1" w:rsidRDefault="007856B1" w:rsidP="007856B1">
      <w:pPr>
        <w:spacing w:after="200" w:line="276" w:lineRule="auto"/>
      </w:pPr>
      <w:r>
        <w:t>Jeff Hudson</w:t>
      </w:r>
      <w:r w:rsidR="00707C85">
        <w:t xml:space="preserve"> (jdh2182)</w:t>
      </w:r>
      <w:bookmarkStart w:id="0" w:name="_GoBack"/>
      <w:bookmarkEnd w:id="0"/>
      <w:r>
        <w:br/>
        <w:t>QMSS 4063 – Data Visualization</w:t>
      </w:r>
      <w:r>
        <w:br/>
        <w:t>Final Project</w:t>
      </w:r>
      <w:r>
        <w:br/>
        <w:t>May 11, 2015</w:t>
      </w:r>
    </w:p>
    <w:p w14:paraId="18254C8B" w14:textId="5E959138" w:rsidR="001439C0" w:rsidRPr="00C35D3A" w:rsidRDefault="005A1518" w:rsidP="001439C0">
      <w:pPr>
        <w:spacing w:after="200" w:line="276" w:lineRule="auto"/>
        <w:jc w:val="center"/>
        <w:rPr>
          <w:b/>
          <w:sz w:val="32"/>
        </w:rPr>
      </w:pPr>
      <w:r>
        <w:rPr>
          <w:b/>
          <w:sz w:val="32"/>
        </w:rPr>
        <w:t>Measuring Gentrification</w:t>
      </w:r>
    </w:p>
    <w:p w14:paraId="5AD5AB5C" w14:textId="059B9913" w:rsidR="009A6CF7" w:rsidRDefault="0086545C" w:rsidP="0086545C">
      <w:pPr>
        <w:pStyle w:val="Heading1"/>
      </w:pPr>
      <w:r>
        <w:t>Introduction</w:t>
      </w:r>
    </w:p>
    <w:p w14:paraId="55DD339E" w14:textId="7141EB5C" w:rsidR="002436B5" w:rsidRDefault="007E4CDC" w:rsidP="00CC43BE">
      <w:pPr>
        <w:ind w:firstLine="720"/>
      </w:pPr>
      <w:r>
        <w:t xml:space="preserve">Gentrification has recently become a hot topic in the national conversation. Artists and celebrities such as </w:t>
      </w:r>
      <w:r w:rsidRPr="00096239">
        <w:t>Spike Lee publicly decry it, activist local residents stage protests</w:t>
      </w:r>
      <w:r>
        <w:t>, while television comedies such as “Girls” and “Broad City” skewer it for entertainment. Opponents charge that it displaces working-class families that often cannot afford to move, while proponents argue that it benefits neighborhoods by injecting an economic stimulus, improving public spaces, and lowering crime rates. While much is being said about gentrification, there have been few attempts to understand and quantify the process objectively.</w:t>
      </w:r>
    </w:p>
    <w:p w14:paraId="738CB354" w14:textId="53C6531C" w:rsidR="00FA2BE5" w:rsidRDefault="007E4CDC" w:rsidP="00CC43BE">
      <w:pPr>
        <w:ind w:firstLine="720"/>
      </w:pPr>
      <w:r>
        <w:t>An objective understanding is critically important as the issue continues to become more widespread. State actors and local governments are often in the position of enacting policies that favor or prohibit the kinds of neighborhood change that characterize gentrification. They need a balanced, fact-based perspective of how these policies will affect their constituents in order to make an informed decision.</w:t>
      </w:r>
      <w:r w:rsidR="00570B10">
        <w:t xml:space="preserve"> In particular, </w:t>
      </w:r>
      <w:r w:rsidR="009C75FD">
        <w:t xml:space="preserve">before any analysis of the effects can be done, it is necessary to establish objective criteria for quantifying a neighborhood’s gentrification. </w:t>
      </w:r>
      <w:r w:rsidR="00FA2BE5">
        <w:t xml:space="preserve">I use New York City as the location to study due to its size, the existence of well-known gentrified neighborhoods, as well as my personal familiarity. </w:t>
      </w:r>
    </w:p>
    <w:p w14:paraId="15640837" w14:textId="105B0892" w:rsidR="008020E6" w:rsidRDefault="0086545C" w:rsidP="0086545C">
      <w:pPr>
        <w:pStyle w:val="Heading1"/>
      </w:pPr>
      <w:r>
        <w:t>Literature Review</w:t>
      </w:r>
    </w:p>
    <w:p w14:paraId="3ABF806D" w14:textId="77777777" w:rsidR="009A6CF7" w:rsidRDefault="009A6CF7" w:rsidP="009A6CF7">
      <w:pPr>
        <w:ind w:firstLine="720"/>
        <w:rPr>
          <w:rFonts w:cs="Times New Roman"/>
        </w:rPr>
      </w:pPr>
      <w:r w:rsidRPr="00D05406">
        <w:rPr>
          <w:rFonts w:cs="Times New Roman"/>
        </w:rPr>
        <w:t xml:space="preserve">The term </w:t>
      </w:r>
      <w:r>
        <w:rPr>
          <w:rFonts w:cs="Times New Roman"/>
        </w:rPr>
        <w:t>“</w:t>
      </w:r>
      <w:r w:rsidRPr="00D05406">
        <w:rPr>
          <w:rFonts w:cs="Times New Roman"/>
        </w:rPr>
        <w:t>gentrification</w:t>
      </w:r>
      <w:r>
        <w:rPr>
          <w:rFonts w:cs="Times New Roman"/>
        </w:rPr>
        <w:t>”</w:t>
      </w:r>
      <w:r w:rsidRPr="00D05406">
        <w:rPr>
          <w:rFonts w:cs="Times New Roman"/>
        </w:rPr>
        <w:t xml:space="preserve"> was coined by British sociologist Ruth Glass in 1964 </w:t>
      </w:r>
      <w:r>
        <w:rPr>
          <w:rFonts w:cs="Times New Roman"/>
        </w:rPr>
        <w:t>as she sought to describe the influx of middle-class</w:t>
      </w:r>
      <w:r w:rsidRPr="00D05406">
        <w:rPr>
          <w:rFonts w:cs="Times New Roman"/>
        </w:rPr>
        <w:t xml:space="preserve"> </w:t>
      </w:r>
      <w:r>
        <w:rPr>
          <w:rFonts w:cs="Times New Roman"/>
        </w:rPr>
        <w:t>families displacing</w:t>
      </w:r>
      <w:r w:rsidRPr="00D05406">
        <w:rPr>
          <w:rFonts w:cs="Times New Roman"/>
        </w:rPr>
        <w:t xml:space="preserve"> the poor from historically </w:t>
      </w:r>
      <w:r w:rsidRPr="00D05406">
        <w:rPr>
          <w:rFonts w:cs="Times New Roman"/>
        </w:rPr>
        <w:lastRenderedPageBreak/>
        <w:t>working-class neighborhoods in London. At</w:t>
      </w:r>
      <w:r>
        <w:rPr>
          <w:rFonts w:cs="Times New Roman"/>
        </w:rPr>
        <w:t xml:space="preserve"> just over</w:t>
      </w:r>
      <w:r w:rsidRPr="00D05406">
        <w:rPr>
          <w:rFonts w:cs="Times New Roman"/>
        </w:rPr>
        <w:t xml:space="preserve"> fifty years old, it is </w:t>
      </w:r>
      <w:r>
        <w:rPr>
          <w:rFonts w:cs="Times New Roman"/>
        </w:rPr>
        <w:t>still a relatively</w:t>
      </w:r>
      <w:r w:rsidRPr="00D05406">
        <w:rPr>
          <w:rFonts w:cs="Times New Roman"/>
        </w:rPr>
        <w:t xml:space="preserve"> recent phen</w:t>
      </w:r>
      <w:r>
        <w:rPr>
          <w:rFonts w:cs="Times New Roman"/>
        </w:rPr>
        <w:t>omenon and somewhat under-theorized, though most scholars agree that it is characterized by two central components: rising housing prices and the in-migration of the middle-class. Although it seems to be a simple formulation, empirical studies of gentrification differ greatly in their operationalization of the concepts to identify gentrifying neighborhoods to study.</w:t>
      </w:r>
    </w:p>
    <w:p w14:paraId="5FAEAE89" w14:textId="3374732A" w:rsidR="009A6CF7" w:rsidRDefault="009A6CF7" w:rsidP="009A6CF7">
      <w:pPr>
        <w:ind w:firstLine="720"/>
        <w:rPr>
          <w:rFonts w:cs="Times New Roman"/>
        </w:rPr>
      </w:pPr>
      <w:r>
        <w:rPr>
          <w:rFonts w:cs="Times New Roman"/>
        </w:rPr>
        <w:t xml:space="preserve">Some scholars have chosen to simply </w:t>
      </w:r>
      <w:r w:rsidR="003A35D8">
        <w:rPr>
          <w:rFonts w:cs="Times New Roman"/>
        </w:rPr>
        <w:t>specify a priori</w:t>
      </w:r>
      <w:r>
        <w:rPr>
          <w:rFonts w:cs="Times New Roman"/>
        </w:rPr>
        <w:t xml:space="preserve"> the identity of neighborhoods undergoing gentrification. Although they go on to perform a rigorous analysis of gentrification-related displacement of low-income households, Freeman and Braconi do not establish an empirical definition for gentrification. Instead, they rely on their own “</w:t>
      </w:r>
      <w:r w:rsidRPr="002A1A31">
        <w:rPr>
          <w:rFonts w:cs="Times New Roman"/>
        </w:rPr>
        <w:t>familiarity with recent trends in neighborhood change</w:t>
      </w:r>
      <w:r>
        <w:rPr>
          <w:rFonts w:cs="Times New Roman"/>
        </w:rPr>
        <w:t>” to identify the New York City neighborhoods that they consider gentrified (Freeman &amp; Braconi, 2004). This strategy simplifies the analysis but it limits the validity and generalizability of their findings considerably.</w:t>
      </w:r>
      <w:r w:rsidR="00C35D3A">
        <w:rPr>
          <w:rFonts w:cs="Times New Roman"/>
        </w:rPr>
        <w:t xml:space="preserve"> Instead</w:t>
      </w:r>
      <w:r w:rsidR="003A35D8">
        <w:rPr>
          <w:rFonts w:cs="Times New Roman"/>
        </w:rPr>
        <w:t>, I propose to use</w:t>
      </w:r>
      <w:r>
        <w:rPr>
          <w:rFonts w:cs="Times New Roman"/>
        </w:rPr>
        <w:t xml:space="preserve"> </w:t>
      </w:r>
      <w:r w:rsidR="003A35D8">
        <w:rPr>
          <w:rFonts w:cs="Times New Roman"/>
        </w:rPr>
        <w:t>l</w:t>
      </w:r>
      <w:r>
        <w:rPr>
          <w:rFonts w:cs="Times New Roman"/>
        </w:rPr>
        <w:t xml:space="preserve">ocal knowledge </w:t>
      </w:r>
      <w:r w:rsidR="003A35D8">
        <w:rPr>
          <w:rFonts w:cs="Times New Roman"/>
        </w:rPr>
        <w:t xml:space="preserve">as a </w:t>
      </w:r>
      <w:r>
        <w:rPr>
          <w:rFonts w:cs="Times New Roman"/>
        </w:rPr>
        <w:t>way to validate</w:t>
      </w:r>
      <w:r w:rsidR="003A35D8">
        <w:rPr>
          <w:rFonts w:cs="Times New Roman"/>
        </w:rPr>
        <w:t xml:space="preserve"> and verify that</w:t>
      </w:r>
      <w:r>
        <w:rPr>
          <w:rFonts w:cs="Times New Roman"/>
        </w:rPr>
        <w:t xml:space="preserve"> </w:t>
      </w:r>
      <w:r w:rsidR="003A35D8">
        <w:rPr>
          <w:rFonts w:cs="Times New Roman"/>
        </w:rPr>
        <w:t xml:space="preserve">results from objective model </w:t>
      </w:r>
      <w:r>
        <w:rPr>
          <w:rFonts w:cs="Times New Roman"/>
        </w:rPr>
        <w:t xml:space="preserve">predictions of gentrification </w:t>
      </w:r>
      <w:r w:rsidR="003A35D8">
        <w:rPr>
          <w:rFonts w:cs="Times New Roman"/>
        </w:rPr>
        <w:t>do indeed correspond to gentrified areas.</w:t>
      </w:r>
    </w:p>
    <w:p w14:paraId="65EEF5A0" w14:textId="786FD788" w:rsidR="007A2D68" w:rsidRDefault="00EA392A" w:rsidP="009A6CF7">
      <w:pPr>
        <w:ind w:firstLine="720"/>
        <w:rPr>
          <w:rFonts w:cs="Times New Roman"/>
        </w:rPr>
      </w:pPr>
      <w:r>
        <w:rPr>
          <w:rFonts w:cs="Times New Roman"/>
        </w:rPr>
        <w:t xml:space="preserve">Most scholars choose to focus either on housing stock or on demographic characteristics. Occupational status is particularly popular in studying gentrification of London (Atkinson, 2000) and Paris (Clerval, 2011). </w:t>
      </w:r>
      <w:r w:rsidR="00B34270">
        <w:rPr>
          <w:rFonts w:cs="Times New Roman"/>
        </w:rPr>
        <w:t xml:space="preserve">On the other end of the spectrum, </w:t>
      </w:r>
      <w:r w:rsidR="00B34270">
        <w:rPr>
          <w:rFonts w:cs="Times New Roman"/>
        </w:rPr>
        <w:t>Smith and Defilippis</w:t>
      </w:r>
      <w:r w:rsidR="00B34270">
        <w:rPr>
          <w:rFonts w:cs="Times New Roman"/>
        </w:rPr>
        <w:t xml:space="preserve"> use property tax arrears as a proxy for (dis)investment in housing stock (1999).</w:t>
      </w:r>
      <w:r w:rsidR="000A0F13">
        <w:rPr>
          <w:rFonts w:cs="Times New Roman"/>
        </w:rPr>
        <w:t xml:space="preserve"> It is expected that these two different kinds of measures would still capture the same phenomenon, and indeed, Hammel and Wyly (1998) found that census data was highly correlated with changes in housing stock in four American cities.</w:t>
      </w:r>
    </w:p>
    <w:p w14:paraId="5D46E457" w14:textId="35C7B275" w:rsidR="00263AAD" w:rsidRPr="006F346A" w:rsidRDefault="00E63779" w:rsidP="00E63779">
      <w:pPr>
        <w:ind w:firstLine="720"/>
        <w:rPr>
          <w:rFonts w:cs="Times New Roman"/>
        </w:rPr>
      </w:pPr>
      <w:r>
        <w:rPr>
          <w:rFonts w:cs="Times New Roman"/>
        </w:rPr>
        <w:t>T</w:t>
      </w:r>
      <w:r w:rsidR="00263AAD" w:rsidRPr="006F346A">
        <w:rPr>
          <w:rFonts w:cs="Times New Roman"/>
        </w:rPr>
        <w:t xml:space="preserve">he present study builds off of </w:t>
      </w:r>
      <w:r w:rsidR="000A0F13">
        <w:rPr>
          <w:rFonts w:cs="Times New Roman"/>
        </w:rPr>
        <w:t>these previous</w:t>
      </w:r>
      <w:r w:rsidR="00263AAD" w:rsidRPr="006F346A">
        <w:rPr>
          <w:rFonts w:cs="Times New Roman"/>
        </w:rPr>
        <w:t xml:space="preserve"> efforts to use census data to map gentrification in cities across the United States. </w:t>
      </w:r>
      <w:r w:rsidR="00CC619C">
        <w:rPr>
          <w:rFonts w:cs="Times New Roman"/>
        </w:rPr>
        <w:t xml:space="preserve">In particular, </w:t>
      </w:r>
      <w:r w:rsidR="00263AAD" w:rsidRPr="006F346A">
        <w:rPr>
          <w:rFonts w:cs="Times New Roman"/>
        </w:rPr>
        <w:t xml:space="preserve">Gina Clemmer (2000) </w:t>
      </w:r>
      <w:r w:rsidR="0064328D" w:rsidRPr="006F346A">
        <w:rPr>
          <w:rFonts w:cs="Times New Roman"/>
        </w:rPr>
        <w:t>examined</w:t>
      </w:r>
      <w:r w:rsidR="00263AAD" w:rsidRPr="006F346A">
        <w:rPr>
          <w:rFonts w:cs="Times New Roman"/>
        </w:rPr>
        <w:t xml:space="preserve"> </w:t>
      </w:r>
      <w:r w:rsidR="00263AAD" w:rsidRPr="006F346A">
        <w:rPr>
          <w:rFonts w:cs="Times New Roman"/>
        </w:rPr>
        <w:lastRenderedPageBreak/>
        <w:t>patterns of gentrification in the Portland, Oregon metropolitan area using several key indicators from the</w:t>
      </w:r>
      <w:r w:rsidR="00630ED5" w:rsidRPr="006F346A">
        <w:rPr>
          <w:rFonts w:cs="Times New Roman"/>
        </w:rPr>
        <w:t xml:space="preserve"> American Community Survey</w:t>
      </w:r>
      <w:r w:rsidR="00263AAD" w:rsidRPr="006F346A">
        <w:rPr>
          <w:rFonts w:cs="Times New Roman"/>
        </w:rPr>
        <w:t xml:space="preserve"> conducted annually by the U</w:t>
      </w:r>
      <w:r w:rsidR="00CC619C">
        <w:rPr>
          <w:rFonts w:cs="Times New Roman"/>
        </w:rPr>
        <w:t>.</w:t>
      </w:r>
      <w:r w:rsidR="00263AAD" w:rsidRPr="006F346A">
        <w:rPr>
          <w:rFonts w:cs="Times New Roman"/>
        </w:rPr>
        <w:t>S</w:t>
      </w:r>
      <w:r w:rsidR="00CC619C">
        <w:rPr>
          <w:rFonts w:cs="Times New Roman"/>
        </w:rPr>
        <w:t>.</w:t>
      </w:r>
      <w:r w:rsidR="00263AAD" w:rsidRPr="006F346A">
        <w:rPr>
          <w:rFonts w:cs="Times New Roman"/>
        </w:rPr>
        <w:t xml:space="preserve"> Census Bureau. </w:t>
      </w:r>
      <w:r w:rsidR="00D33900" w:rsidRPr="006F346A">
        <w:rPr>
          <w:rFonts w:cs="Times New Roman"/>
        </w:rPr>
        <w:t>Elvin</w:t>
      </w:r>
      <w:r w:rsidR="00263AAD" w:rsidRPr="006F346A">
        <w:rPr>
          <w:rFonts w:cs="Times New Roman"/>
        </w:rPr>
        <w:t xml:space="preserve"> Wyly and </w:t>
      </w:r>
      <w:r w:rsidR="00D33900" w:rsidRPr="006F346A">
        <w:rPr>
          <w:rFonts w:cs="Times New Roman"/>
        </w:rPr>
        <w:t xml:space="preserve">Daniel </w:t>
      </w:r>
      <w:r w:rsidR="00502AAC">
        <w:rPr>
          <w:rFonts w:cs="Times New Roman"/>
        </w:rPr>
        <w:t>Hammel (1996</w:t>
      </w:r>
      <w:r w:rsidR="00263AAD" w:rsidRPr="006F346A">
        <w:rPr>
          <w:rFonts w:cs="Times New Roman"/>
        </w:rPr>
        <w:t>) also use</w:t>
      </w:r>
      <w:r w:rsidR="0064328D" w:rsidRPr="006F346A">
        <w:rPr>
          <w:rFonts w:cs="Times New Roman"/>
        </w:rPr>
        <w:t>d</w:t>
      </w:r>
      <w:r w:rsidR="00263AAD" w:rsidRPr="006F346A">
        <w:rPr>
          <w:rFonts w:cs="Times New Roman"/>
        </w:rPr>
        <w:t xml:space="preserve"> U</w:t>
      </w:r>
      <w:r>
        <w:rPr>
          <w:rFonts w:cs="Times New Roman"/>
        </w:rPr>
        <w:t>.</w:t>
      </w:r>
      <w:r w:rsidR="00263AAD" w:rsidRPr="006F346A">
        <w:rPr>
          <w:rFonts w:cs="Times New Roman"/>
        </w:rPr>
        <w:t>S</w:t>
      </w:r>
      <w:r>
        <w:rPr>
          <w:rFonts w:cs="Times New Roman"/>
        </w:rPr>
        <w:t>.</w:t>
      </w:r>
      <w:r w:rsidR="00263AAD" w:rsidRPr="006F346A">
        <w:rPr>
          <w:rFonts w:cs="Times New Roman"/>
        </w:rPr>
        <w:t xml:space="preserve"> Census data to perform linear discriminant analysis to identify key features of gentrified neighborhoods. Their results </w:t>
      </w:r>
      <w:r w:rsidR="000A0F13">
        <w:rPr>
          <w:rFonts w:cs="Times New Roman"/>
        </w:rPr>
        <w:t xml:space="preserve">agree that </w:t>
      </w:r>
      <w:r w:rsidR="00D33900" w:rsidRPr="006F346A">
        <w:rPr>
          <w:rFonts w:cs="Times New Roman"/>
        </w:rPr>
        <w:t xml:space="preserve">the following </w:t>
      </w:r>
      <w:r>
        <w:rPr>
          <w:rFonts w:cs="Times New Roman"/>
        </w:rPr>
        <w:t xml:space="preserve">eight </w:t>
      </w:r>
      <w:r w:rsidR="00D33900" w:rsidRPr="006F346A">
        <w:rPr>
          <w:rFonts w:cs="Times New Roman"/>
        </w:rPr>
        <w:t>demographic and housing characteristics are of primary interest:</w:t>
      </w:r>
    </w:p>
    <w:p w14:paraId="604E6655" w14:textId="77777777" w:rsidR="00F739EB" w:rsidRDefault="00F739EB" w:rsidP="006F346A">
      <w:pPr>
        <w:pStyle w:val="ListParagraph"/>
        <w:numPr>
          <w:ilvl w:val="0"/>
          <w:numId w:val="1"/>
        </w:numPr>
        <w:rPr>
          <w:rFonts w:cs="Times New Roman"/>
        </w:rPr>
        <w:sectPr w:rsidR="00F739EB" w:rsidSect="001439C0">
          <w:footerReference w:type="default" r:id="rId8"/>
          <w:pgSz w:w="12240" w:h="15840"/>
          <w:pgMar w:top="1440" w:right="1440" w:bottom="1440" w:left="1440" w:header="720" w:footer="720" w:gutter="0"/>
          <w:cols w:space="720"/>
          <w:titlePg/>
          <w:docGrid w:linePitch="360"/>
        </w:sectPr>
      </w:pPr>
    </w:p>
    <w:p w14:paraId="03B2D618" w14:textId="7E821AE3" w:rsidR="00A85655" w:rsidRPr="006F346A" w:rsidRDefault="00A85655" w:rsidP="006F346A">
      <w:pPr>
        <w:pStyle w:val="ListParagraph"/>
        <w:numPr>
          <w:ilvl w:val="0"/>
          <w:numId w:val="1"/>
        </w:numPr>
        <w:rPr>
          <w:rFonts w:cs="Times New Roman"/>
        </w:rPr>
      </w:pPr>
      <w:r w:rsidRPr="006F346A">
        <w:rPr>
          <w:rFonts w:cs="Times New Roman"/>
        </w:rPr>
        <w:lastRenderedPageBreak/>
        <w:t>Age</w:t>
      </w:r>
    </w:p>
    <w:p w14:paraId="7ECC0D30" w14:textId="77777777" w:rsidR="00A85655" w:rsidRPr="006F346A" w:rsidRDefault="00A85655" w:rsidP="006F346A">
      <w:pPr>
        <w:pStyle w:val="ListParagraph"/>
        <w:numPr>
          <w:ilvl w:val="0"/>
          <w:numId w:val="1"/>
        </w:numPr>
        <w:rPr>
          <w:rFonts w:cs="Times New Roman"/>
        </w:rPr>
      </w:pPr>
      <w:r w:rsidRPr="006F346A">
        <w:rPr>
          <w:rFonts w:cs="Times New Roman"/>
        </w:rPr>
        <w:t>Race</w:t>
      </w:r>
    </w:p>
    <w:p w14:paraId="7522ECA9" w14:textId="77777777" w:rsidR="00D33900" w:rsidRPr="006F346A" w:rsidRDefault="00D33900" w:rsidP="006F346A">
      <w:pPr>
        <w:pStyle w:val="ListParagraph"/>
        <w:numPr>
          <w:ilvl w:val="0"/>
          <w:numId w:val="1"/>
        </w:numPr>
        <w:rPr>
          <w:rFonts w:cs="Times New Roman"/>
        </w:rPr>
      </w:pPr>
      <w:r w:rsidRPr="006F346A">
        <w:rPr>
          <w:rFonts w:cs="Times New Roman"/>
        </w:rPr>
        <w:t>Household Income</w:t>
      </w:r>
    </w:p>
    <w:p w14:paraId="57DE03E8" w14:textId="77777777" w:rsidR="00D33900" w:rsidRPr="006F346A" w:rsidRDefault="00D33900" w:rsidP="006F346A">
      <w:pPr>
        <w:pStyle w:val="ListParagraph"/>
        <w:numPr>
          <w:ilvl w:val="0"/>
          <w:numId w:val="1"/>
        </w:numPr>
        <w:rPr>
          <w:rFonts w:cs="Times New Roman"/>
        </w:rPr>
      </w:pPr>
      <w:r w:rsidRPr="006F346A">
        <w:rPr>
          <w:rFonts w:cs="Times New Roman"/>
        </w:rPr>
        <w:t>Residential Mobility</w:t>
      </w:r>
    </w:p>
    <w:p w14:paraId="7B48C680" w14:textId="77777777" w:rsidR="00D33900" w:rsidRPr="006F346A" w:rsidRDefault="00D33900" w:rsidP="006F346A">
      <w:pPr>
        <w:pStyle w:val="ListParagraph"/>
        <w:numPr>
          <w:ilvl w:val="0"/>
          <w:numId w:val="1"/>
        </w:numPr>
        <w:rPr>
          <w:rFonts w:cs="Times New Roman"/>
        </w:rPr>
      </w:pPr>
      <w:r w:rsidRPr="006F346A">
        <w:rPr>
          <w:rFonts w:cs="Times New Roman"/>
        </w:rPr>
        <w:lastRenderedPageBreak/>
        <w:t>Occupation</w:t>
      </w:r>
    </w:p>
    <w:p w14:paraId="31F419EE" w14:textId="77777777" w:rsidR="00D33900" w:rsidRPr="006F346A" w:rsidRDefault="00D33900" w:rsidP="006F346A">
      <w:pPr>
        <w:pStyle w:val="ListParagraph"/>
        <w:numPr>
          <w:ilvl w:val="0"/>
          <w:numId w:val="1"/>
        </w:numPr>
        <w:rPr>
          <w:rFonts w:cs="Times New Roman"/>
        </w:rPr>
      </w:pPr>
      <w:r w:rsidRPr="006F346A">
        <w:rPr>
          <w:rFonts w:cs="Times New Roman"/>
        </w:rPr>
        <w:t>Educational Attainment</w:t>
      </w:r>
    </w:p>
    <w:p w14:paraId="7C939BFE" w14:textId="77777777" w:rsidR="00D33900" w:rsidRPr="006F346A" w:rsidRDefault="00D33900" w:rsidP="006F346A">
      <w:pPr>
        <w:pStyle w:val="ListParagraph"/>
        <w:numPr>
          <w:ilvl w:val="0"/>
          <w:numId w:val="1"/>
        </w:numPr>
        <w:rPr>
          <w:rFonts w:cs="Times New Roman"/>
        </w:rPr>
      </w:pPr>
      <w:r w:rsidRPr="006F346A">
        <w:rPr>
          <w:rFonts w:cs="Times New Roman"/>
        </w:rPr>
        <w:t>Property Value</w:t>
      </w:r>
    </w:p>
    <w:p w14:paraId="013FA78C" w14:textId="4F0B39F2" w:rsidR="003E5AE4" w:rsidRPr="00E63779" w:rsidRDefault="00D33900" w:rsidP="0017138A">
      <w:pPr>
        <w:pStyle w:val="ListParagraph"/>
        <w:numPr>
          <w:ilvl w:val="0"/>
          <w:numId w:val="1"/>
        </w:numPr>
      </w:pPr>
      <w:r w:rsidRPr="0017138A">
        <w:rPr>
          <w:rFonts w:cs="Times New Roman"/>
        </w:rPr>
        <w:t>Rent</w:t>
      </w:r>
    </w:p>
    <w:p w14:paraId="59ADABD7" w14:textId="77777777" w:rsidR="00F739EB" w:rsidRDefault="00F739EB" w:rsidP="00E63779">
      <w:pPr>
        <w:sectPr w:rsidR="00F739EB" w:rsidSect="00F739EB">
          <w:type w:val="continuous"/>
          <w:pgSz w:w="12240" w:h="15840"/>
          <w:pgMar w:top="1440" w:right="1440" w:bottom="1440" w:left="1440" w:header="720" w:footer="720" w:gutter="0"/>
          <w:cols w:num="2" w:space="720"/>
          <w:titlePg/>
          <w:docGrid w:linePitch="360"/>
        </w:sectPr>
      </w:pPr>
    </w:p>
    <w:p w14:paraId="15D5C63D" w14:textId="104A1E68" w:rsidR="00E63779" w:rsidRPr="003E5AE4" w:rsidRDefault="00E63779" w:rsidP="00E63779">
      <w:r>
        <w:lastRenderedPageBreak/>
        <w:t>I rely on this earlier work and take these variables as my prima</w:t>
      </w:r>
      <w:r w:rsidR="00CC619C">
        <w:t>r</w:t>
      </w:r>
      <w:r w:rsidR="007A2D68">
        <w:t>y indicators of gentrification.</w:t>
      </w:r>
    </w:p>
    <w:p w14:paraId="020B6926" w14:textId="215DC338" w:rsidR="00263AAD" w:rsidRPr="0086545C" w:rsidRDefault="00263AAD" w:rsidP="0086545C">
      <w:pPr>
        <w:pStyle w:val="Heading1"/>
      </w:pPr>
      <w:r w:rsidRPr="0086545C">
        <w:t>Description of Data</w:t>
      </w:r>
    </w:p>
    <w:p w14:paraId="0ACD8EA2" w14:textId="0E1FEAE8" w:rsidR="008A57ED" w:rsidRPr="006F346A" w:rsidRDefault="0064328D" w:rsidP="006F346A">
      <w:pPr>
        <w:rPr>
          <w:rFonts w:cs="Times New Roman"/>
        </w:rPr>
      </w:pPr>
      <w:r>
        <w:tab/>
      </w:r>
      <w:r w:rsidRPr="006F346A">
        <w:rPr>
          <w:rFonts w:cs="Times New Roman"/>
        </w:rPr>
        <w:t xml:space="preserve">The data for the study are taken from 1% Public Use Microdata </w:t>
      </w:r>
      <w:r w:rsidR="00630ED5" w:rsidRPr="006F346A">
        <w:rPr>
          <w:rFonts w:cs="Times New Roman"/>
        </w:rPr>
        <w:t>Samples of</w:t>
      </w:r>
      <w:r w:rsidRPr="006F346A">
        <w:rPr>
          <w:rFonts w:cs="Times New Roman"/>
        </w:rPr>
        <w:t xml:space="preserve"> the United States Census Bureau’s American Community Survey</w:t>
      </w:r>
      <w:r w:rsidR="00630ED5" w:rsidRPr="006F346A">
        <w:rPr>
          <w:rFonts w:cs="Times New Roman"/>
        </w:rPr>
        <w:t xml:space="preserve"> (ACS)</w:t>
      </w:r>
      <w:r w:rsidRPr="006F346A">
        <w:rPr>
          <w:rFonts w:cs="Times New Roman"/>
        </w:rPr>
        <w:t>.</w:t>
      </w:r>
      <w:r w:rsidR="00630ED5" w:rsidRPr="006F346A">
        <w:rPr>
          <w:rFonts w:cs="Times New Roman"/>
        </w:rPr>
        <w:t xml:space="preserve"> These data are maintained through the Integrated Public Use Microdata Series (IPUMS) project of the Minnesota Population Center at the University of Minnesota. IPUMS catalogues changes in the codebooks for each survey and recodes some variables to maintain </w:t>
      </w:r>
      <w:r w:rsidR="00EB00C5" w:rsidRPr="006F346A">
        <w:rPr>
          <w:rFonts w:cs="Times New Roman"/>
        </w:rPr>
        <w:t xml:space="preserve">consistency across survey years, making it much easier to analyze changes over time. The microdata </w:t>
      </w:r>
      <w:r w:rsidR="00D31665" w:rsidRPr="006F346A">
        <w:rPr>
          <w:rFonts w:cs="Times New Roman"/>
        </w:rPr>
        <w:t>samples contain indi</w:t>
      </w:r>
      <w:r w:rsidR="008A57ED" w:rsidRPr="006F346A">
        <w:rPr>
          <w:rFonts w:cs="Times New Roman"/>
        </w:rPr>
        <w:t xml:space="preserve">vidual and household-level data </w:t>
      </w:r>
      <w:r w:rsidR="00465A7C" w:rsidRPr="006F346A">
        <w:rPr>
          <w:rFonts w:cs="Times New Roman"/>
        </w:rPr>
        <w:t xml:space="preserve">with weights for each </w:t>
      </w:r>
      <w:r w:rsidR="008A57ED" w:rsidRPr="006F346A">
        <w:rPr>
          <w:rFonts w:cs="Times New Roman"/>
        </w:rPr>
        <w:t xml:space="preserve">which allows us to construct neighborhood-level statistics directly from the underlying population. </w:t>
      </w:r>
    </w:p>
    <w:p w14:paraId="0AE581D4" w14:textId="294562E0" w:rsidR="007A2853" w:rsidRDefault="008A57ED" w:rsidP="007A2D68">
      <w:pPr>
        <w:ind w:firstLine="720"/>
        <w:rPr>
          <w:rFonts w:cs="Times New Roman"/>
        </w:rPr>
      </w:pPr>
      <w:r w:rsidRPr="006F346A">
        <w:rPr>
          <w:rFonts w:cs="Times New Roman"/>
        </w:rPr>
        <w:t xml:space="preserve">The smallest geographical unit available in the microdata is the Public Use Microdata Area (PUMA), each of which contains at least 100,000 individuals. There are 55 PUMAs within the New York City limits. While it might be more instructive to analyze the data at a smaller geographical unit, such as the zip-code or tract level, due to privacy concerns, the ACS data is </w:t>
      </w:r>
      <w:r w:rsidRPr="006F346A">
        <w:rPr>
          <w:rFonts w:cs="Times New Roman"/>
        </w:rPr>
        <w:lastRenderedPageBreak/>
        <w:t xml:space="preserve">not available at this level of specificity. Regardless, these PUMAs still correspond meaningfully to coherent neighborhoods and give us small enough units to isolate the occurrence of gentrification. </w:t>
      </w:r>
      <w:r w:rsidR="00465A7C" w:rsidRPr="006F346A">
        <w:rPr>
          <w:rFonts w:cs="Times New Roman"/>
        </w:rPr>
        <w:t xml:space="preserve">The years of the survey </w:t>
      </w:r>
      <w:r w:rsidR="00D30F55">
        <w:rPr>
          <w:rFonts w:cs="Times New Roman"/>
        </w:rPr>
        <w:t>I use are</w:t>
      </w:r>
      <w:r w:rsidR="00465A7C" w:rsidRPr="006F346A">
        <w:rPr>
          <w:rFonts w:cs="Times New Roman"/>
        </w:rPr>
        <w:t xml:space="preserve"> 2005 through 2011 as these are the only years with enough geographic specificity (at the PUMA level) to be meaningful in this analysis.</w:t>
      </w:r>
    </w:p>
    <w:p w14:paraId="21B26A38" w14:textId="3DB6ED9E" w:rsidR="007A2853" w:rsidRDefault="009808CD" w:rsidP="007A2853">
      <w:pPr>
        <w:ind w:firstLine="720"/>
        <w:rPr>
          <w:rFonts w:cs="Times New Roman"/>
        </w:rPr>
      </w:pPr>
      <w:r>
        <w:rPr>
          <w:rFonts w:cs="Times New Roman"/>
        </w:rPr>
        <w:t xml:space="preserve">Figure 1 shows </w:t>
      </w:r>
      <w:r w:rsidR="007A2853">
        <w:rPr>
          <w:rFonts w:cs="Times New Roman"/>
        </w:rPr>
        <w:t xml:space="preserve">a map of </w:t>
      </w:r>
      <w:r>
        <w:rPr>
          <w:rFonts w:cs="Times New Roman"/>
        </w:rPr>
        <w:t xml:space="preserve">the </w:t>
      </w:r>
      <w:r w:rsidR="007A2853">
        <w:rPr>
          <w:rFonts w:cs="Times New Roman"/>
        </w:rPr>
        <w:t xml:space="preserve">PUMAs </w:t>
      </w:r>
      <w:r>
        <w:rPr>
          <w:rFonts w:cs="Times New Roman"/>
        </w:rPr>
        <w:t xml:space="preserve">in New York City </w:t>
      </w:r>
      <w:r w:rsidR="007A2853">
        <w:rPr>
          <w:rFonts w:cs="Times New Roman"/>
        </w:rPr>
        <w:t xml:space="preserve">(colored arbitrarily). The PUMAs are conceptualized as encompassing </w:t>
      </w:r>
      <w:r>
        <w:rPr>
          <w:rFonts w:cs="Times New Roman"/>
        </w:rPr>
        <w:t xml:space="preserve">intervening bodies of water, thus the PUMAs representing Staten Island (for instance) are adjacent to PUMAs in Brooklyn, despite being separated by a river. </w:t>
      </w:r>
    </w:p>
    <w:p w14:paraId="09F157EE" w14:textId="5F3EA9BA" w:rsidR="009808CD" w:rsidRPr="009808CD" w:rsidRDefault="009808CD" w:rsidP="009808CD">
      <w:pPr>
        <w:rPr>
          <w:rFonts w:cs="Times New Roman"/>
          <w:b/>
        </w:rPr>
      </w:pPr>
      <w:r>
        <w:rPr>
          <w:noProof/>
        </w:rPr>
        <w:drawing>
          <wp:anchor distT="0" distB="0" distL="114300" distR="114300" simplePos="0" relativeHeight="251658240" behindDoc="0" locked="0" layoutInCell="1" allowOverlap="1" wp14:anchorId="4A8FAA78" wp14:editId="13AB2078">
            <wp:simplePos x="0" y="0"/>
            <wp:positionH relativeFrom="margin">
              <wp:align>center</wp:align>
            </wp:positionH>
            <wp:positionV relativeFrom="paragraph">
              <wp:posOffset>311785</wp:posOffset>
            </wp:positionV>
            <wp:extent cx="3533775" cy="2838477"/>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8527" t="16916" r="23397" b="19384"/>
                    <a:stretch/>
                  </pic:blipFill>
                  <pic:spPr bwMode="auto">
                    <a:xfrm>
                      <a:off x="0" y="0"/>
                      <a:ext cx="3533775" cy="2838477"/>
                    </a:xfrm>
                    <a:prstGeom prst="rect">
                      <a:avLst/>
                    </a:prstGeom>
                    <a:ln>
                      <a:noFill/>
                    </a:ln>
                    <a:extLst>
                      <a:ext uri="{53640926-AAD7-44D8-BBD7-CCE9431645EC}">
                        <a14:shadowObscured xmlns:a14="http://schemas.microsoft.com/office/drawing/2010/main"/>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14:sizeRelH relativeFrom="page">
              <wp14:pctWidth>0</wp14:pctWidth>
            </wp14:sizeRelH>
            <wp14:sizeRelV relativeFrom="page">
              <wp14:pctHeight>0</wp14:pctHeight>
            </wp14:sizeRelV>
          </wp:anchor>
        </w:drawing>
      </w:r>
      <w:r>
        <w:rPr>
          <w:rFonts w:cs="Times New Roman"/>
          <w:b/>
        </w:rPr>
        <w:t>Figure 1. Map of Public Use Microdata Areas (PUMAs) in New York City</w:t>
      </w:r>
    </w:p>
    <w:p w14:paraId="54A1BCAB" w14:textId="7013AA69" w:rsidR="007A2853" w:rsidRPr="006F346A" w:rsidRDefault="007A2853" w:rsidP="007A2853">
      <w:pPr>
        <w:ind w:firstLine="720"/>
        <w:rPr>
          <w:rFonts w:cs="Times New Roman"/>
        </w:rPr>
      </w:pPr>
    </w:p>
    <w:p w14:paraId="5BCFDECC" w14:textId="7439EF56" w:rsidR="004E34D7" w:rsidRPr="006F346A" w:rsidRDefault="004E34D7" w:rsidP="006F346A">
      <w:pPr>
        <w:ind w:firstLine="720"/>
        <w:rPr>
          <w:rFonts w:cs="Times New Roman"/>
        </w:rPr>
      </w:pPr>
      <w:r w:rsidRPr="006F346A">
        <w:rPr>
          <w:rFonts w:cs="Times New Roman"/>
        </w:rPr>
        <w:t xml:space="preserve">The data contain weights at both the household and individual level. For variables such as household income, the household level weight is clearly the most appropriate, while for age or race, individual weights must be used. For some variables, such as residential </w:t>
      </w:r>
      <w:r w:rsidR="009808CD">
        <w:rPr>
          <w:rFonts w:cs="Times New Roman"/>
        </w:rPr>
        <w:t>mobility</w:t>
      </w:r>
      <w:r w:rsidR="00690DC6">
        <w:rPr>
          <w:rFonts w:cs="Times New Roman"/>
        </w:rPr>
        <w:t>, a</w:t>
      </w:r>
      <w:r w:rsidR="009808CD">
        <w:rPr>
          <w:rFonts w:cs="Times New Roman"/>
        </w:rPr>
        <w:t xml:space="preserve"> case could be made for either.</w:t>
      </w:r>
      <w:r w:rsidRPr="006F346A">
        <w:rPr>
          <w:rFonts w:cs="Times New Roman"/>
        </w:rPr>
        <w:t xml:space="preserve"> A couple with an infant might have been living in the same unit for six years, while the child would only have been there for one. In this case, </w:t>
      </w:r>
      <w:r w:rsidR="009808CD">
        <w:rPr>
          <w:rFonts w:cs="Times New Roman"/>
        </w:rPr>
        <w:t xml:space="preserve">I </w:t>
      </w:r>
      <w:r w:rsidRPr="006F346A">
        <w:rPr>
          <w:rFonts w:cs="Times New Roman"/>
        </w:rPr>
        <w:t xml:space="preserve">prefer to </w:t>
      </w:r>
      <w:r w:rsidR="009808CD">
        <w:rPr>
          <w:rFonts w:cs="Times New Roman"/>
        </w:rPr>
        <w:t xml:space="preserve">use </w:t>
      </w:r>
      <w:r w:rsidRPr="006F346A">
        <w:rPr>
          <w:rFonts w:cs="Times New Roman"/>
        </w:rPr>
        <w:t xml:space="preserve">the </w:t>
      </w:r>
      <w:r w:rsidRPr="006F346A">
        <w:rPr>
          <w:rFonts w:cs="Times New Roman"/>
        </w:rPr>
        <w:lastRenderedPageBreak/>
        <w:t xml:space="preserve">household’s residential mobility (six years) than the average over each </w:t>
      </w:r>
      <w:r w:rsidR="00472228" w:rsidRPr="006F346A">
        <w:rPr>
          <w:rFonts w:cs="Times New Roman"/>
        </w:rPr>
        <w:t xml:space="preserve">individual </w:t>
      </w:r>
      <w:r w:rsidRPr="006F346A">
        <w:rPr>
          <w:rFonts w:cs="Times New Roman"/>
        </w:rPr>
        <w:t>in the household (4.33 years)</w:t>
      </w:r>
      <w:r w:rsidR="00472228" w:rsidRPr="006F346A">
        <w:rPr>
          <w:rFonts w:cs="Times New Roman"/>
        </w:rPr>
        <w:t>.</w:t>
      </w:r>
      <w:r w:rsidR="009808CD">
        <w:rPr>
          <w:rFonts w:cs="Times New Roman"/>
        </w:rPr>
        <w:t xml:space="preserve"> </w:t>
      </w:r>
    </w:p>
    <w:p w14:paraId="50A32534" w14:textId="77777777" w:rsidR="0064328D" w:rsidRPr="0086545C" w:rsidRDefault="0064328D" w:rsidP="0086545C">
      <w:pPr>
        <w:pStyle w:val="Heading1"/>
      </w:pPr>
      <w:r w:rsidRPr="0086545C">
        <w:t>Construction of Variables</w:t>
      </w:r>
    </w:p>
    <w:p w14:paraId="1DD727B7" w14:textId="14F78EBF" w:rsidR="00A438E5" w:rsidRPr="006F346A" w:rsidRDefault="00465A7C" w:rsidP="0086545C">
      <w:pPr>
        <w:rPr>
          <w:rFonts w:cs="Times New Roman"/>
        </w:rPr>
      </w:pPr>
      <w:r>
        <w:tab/>
      </w:r>
      <w:r w:rsidRPr="006F346A">
        <w:rPr>
          <w:rFonts w:cs="Times New Roman"/>
        </w:rPr>
        <w:t xml:space="preserve">Because </w:t>
      </w:r>
      <w:r w:rsidR="009C3303" w:rsidRPr="006F346A">
        <w:rPr>
          <w:rFonts w:cs="Times New Roman"/>
        </w:rPr>
        <w:t xml:space="preserve">these neighborhood statistics are being calculated </w:t>
      </w:r>
      <w:r w:rsidRPr="006F346A">
        <w:rPr>
          <w:rFonts w:cs="Times New Roman"/>
        </w:rPr>
        <w:t xml:space="preserve">from individual and household observations, </w:t>
      </w:r>
      <w:r w:rsidR="004E0F77">
        <w:rPr>
          <w:rFonts w:cs="Times New Roman"/>
        </w:rPr>
        <w:t>I</w:t>
      </w:r>
      <w:r w:rsidRPr="006F346A">
        <w:rPr>
          <w:rFonts w:cs="Times New Roman"/>
        </w:rPr>
        <w:t xml:space="preserve"> have substantial latitude in how to </w:t>
      </w:r>
      <w:r w:rsidR="009C3303" w:rsidRPr="006F346A">
        <w:rPr>
          <w:rFonts w:cs="Times New Roman"/>
        </w:rPr>
        <w:t>construct them to maximize their usefulness for the identification of gentrification</w:t>
      </w:r>
      <w:r w:rsidRPr="006F346A">
        <w:rPr>
          <w:rFonts w:cs="Times New Roman"/>
        </w:rPr>
        <w:t xml:space="preserve">. </w:t>
      </w:r>
      <w:r w:rsidR="00FC5BD8" w:rsidRPr="006F346A">
        <w:rPr>
          <w:rFonts w:cs="Times New Roman"/>
        </w:rPr>
        <w:t xml:space="preserve"> As an example</w:t>
      </w:r>
      <w:r w:rsidRPr="006F346A">
        <w:rPr>
          <w:rFonts w:cs="Times New Roman"/>
        </w:rPr>
        <w:t xml:space="preserve">, the </w:t>
      </w:r>
      <w:r w:rsidR="00A00DA6">
        <w:rPr>
          <w:rFonts w:cs="Times New Roman"/>
        </w:rPr>
        <w:t>age</w:t>
      </w:r>
      <w:r w:rsidRPr="006F346A">
        <w:rPr>
          <w:rFonts w:cs="Times New Roman"/>
        </w:rPr>
        <w:t xml:space="preserve"> variable </w:t>
      </w:r>
      <w:r w:rsidR="009C3303" w:rsidRPr="006F346A">
        <w:rPr>
          <w:rFonts w:cs="Times New Roman"/>
        </w:rPr>
        <w:t xml:space="preserve">could be constructed as </w:t>
      </w:r>
      <w:r w:rsidRPr="006F346A">
        <w:rPr>
          <w:rFonts w:cs="Times New Roman"/>
        </w:rPr>
        <w:t xml:space="preserve">the mean age, the median age, or even the </w:t>
      </w:r>
      <w:r w:rsidR="009C3303" w:rsidRPr="006F346A">
        <w:rPr>
          <w:rFonts w:cs="Times New Roman"/>
        </w:rPr>
        <w:t>percent</w:t>
      </w:r>
      <w:r w:rsidRPr="006F346A">
        <w:rPr>
          <w:rFonts w:cs="Times New Roman"/>
        </w:rPr>
        <w:t xml:space="preserve"> of residents over/under a certain age. </w:t>
      </w:r>
      <w:r w:rsidR="009C3303" w:rsidRPr="006F346A">
        <w:rPr>
          <w:rFonts w:cs="Times New Roman"/>
        </w:rPr>
        <w:t xml:space="preserve">Each would alter </w:t>
      </w:r>
      <w:r w:rsidR="00607219">
        <w:rPr>
          <w:rFonts w:cs="Times New Roman"/>
        </w:rPr>
        <w:t xml:space="preserve">the </w:t>
      </w:r>
      <w:r w:rsidR="009C3303" w:rsidRPr="006F346A">
        <w:rPr>
          <w:rFonts w:cs="Times New Roman"/>
        </w:rPr>
        <w:t xml:space="preserve">end results – some marginally, some dramatically. Additionally, some formulations will correspond better to our preconceived notions of the dynamics of gentrification. For instance, it is easy to understand how the percent of adult residents under 35 is associated with gentrification, while the connection between gentrification and the mean age in a neighborhood is less clear. </w:t>
      </w:r>
      <w:r w:rsidR="00A438E5" w:rsidRPr="006F346A">
        <w:rPr>
          <w:rFonts w:cs="Times New Roman"/>
        </w:rPr>
        <w:t xml:space="preserve">I will discuss </w:t>
      </w:r>
      <w:r w:rsidR="0025530F">
        <w:rPr>
          <w:rFonts w:cs="Times New Roman"/>
        </w:rPr>
        <w:t xml:space="preserve">the </w:t>
      </w:r>
      <w:r w:rsidR="00A438E5" w:rsidRPr="006F346A">
        <w:rPr>
          <w:rFonts w:cs="Times New Roman"/>
        </w:rPr>
        <w:t>factors motivating the specifi</w:t>
      </w:r>
      <w:r w:rsidR="0025530F">
        <w:rPr>
          <w:rFonts w:cs="Times New Roman"/>
        </w:rPr>
        <w:t xml:space="preserve">c construction of each variable </w:t>
      </w:r>
      <w:r w:rsidR="00A438E5" w:rsidRPr="006F346A">
        <w:rPr>
          <w:rFonts w:cs="Times New Roman"/>
        </w:rPr>
        <w:t>in the analysis</w:t>
      </w:r>
      <w:r w:rsidR="0025530F">
        <w:rPr>
          <w:rFonts w:cs="Times New Roman"/>
        </w:rPr>
        <w:t>, including which weights are used for each</w:t>
      </w:r>
      <w:r w:rsidR="00A438E5" w:rsidRPr="006F346A">
        <w:rPr>
          <w:rFonts w:cs="Times New Roman"/>
        </w:rPr>
        <w:t>.</w:t>
      </w:r>
    </w:p>
    <w:p w14:paraId="621B5991" w14:textId="096C9975" w:rsidR="00A438E5" w:rsidRPr="006F346A" w:rsidRDefault="00A438E5" w:rsidP="006F346A">
      <w:pPr>
        <w:pStyle w:val="ListParagraph"/>
        <w:numPr>
          <w:ilvl w:val="0"/>
          <w:numId w:val="2"/>
        </w:numPr>
        <w:rPr>
          <w:rFonts w:cs="Times New Roman"/>
        </w:rPr>
      </w:pPr>
      <w:r w:rsidRPr="006F346A">
        <w:rPr>
          <w:rFonts w:cs="Times New Roman"/>
          <w:b/>
        </w:rPr>
        <w:t>Age</w:t>
      </w:r>
      <w:r w:rsidR="00C15A4A" w:rsidRPr="006F346A">
        <w:rPr>
          <w:rFonts w:cs="Times New Roman"/>
        </w:rPr>
        <w:t xml:space="preserve">: </w:t>
      </w:r>
      <w:r w:rsidR="0082727D" w:rsidRPr="006F346A">
        <w:rPr>
          <w:rFonts w:cs="Times New Roman"/>
        </w:rPr>
        <w:t xml:space="preserve">As noted above, there are many ways this variable could be constructed, however, </w:t>
      </w:r>
      <w:r w:rsidR="0025530F">
        <w:rPr>
          <w:rFonts w:cs="Times New Roman"/>
        </w:rPr>
        <w:t xml:space="preserve">I use </w:t>
      </w:r>
      <w:r w:rsidR="0082727D" w:rsidRPr="006F346A">
        <w:rPr>
          <w:rFonts w:cs="Times New Roman"/>
        </w:rPr>
        <w:t xml:space="preserve">the percent of the population </w:t>
      </w:r>
      <w:r w:rsidR="0025530F">
        <w:rPr>
          <w:rFonts w:cs="Times New Roman"/>
        </w:rPr>
        <w:t xml:space="preserve">aged 18 to </w:t>
      </w:r>
      <w:r w:rsidR="0082727D" w:rsidRPr="006F346A">
        <w:rPr>
          <w:rFonts w:cs="Times New Roman"/>
        </w:rPr>
        <w:t xml:space="preserve">35 </w:t>
      </w:r>
      <w:r w:rsidR="0025530F">
        <w:rPr>
          <w:rFonts w:cs="Times New Roman"/>
        </w:rPr>
        <w:t>as it has direct correspondence to gentrification, given that gentrifying residents tend to be young adults</w:t>
      </w:r>
      <w:r w:rsidR="0082727D" w:rsidRPr="006F346A">
        <w:rPr>
          <w:rFonts w:cs="Times New Roman"/>
        </w:rPr>
        <w:t xml:space="preserve">. </w:t>
      </w:r>
      <w:r w:rsidR="0025530F">
        <w:rPr>
          <w:rFonts w:cs="Times New Roman"/>
        </w:rPr>
        <w:t>M</w:t>
      </w:r>
      <w:r w:rsidR="0082727D" w:rsidRPr="006F346A">
        <w:rPr>
          <w:rFonts w:cs="Times New Roman"/>
        </w:rPr>
        <w:t xml:space="preserve">ean and median age </w:t>
      </w:r>
      <w:r w:rsidR="0025530F">
        <w:rPr>
          <w:rFonts w:cs="Times New Roman"/>
        </w:rPr>
        <w:t xml:space="preserve">can be pulled in either direction by a large number of children or the elderly, which would not be a good indication of the number of residents that are the age of the average gentrifier. In addition, this construction allows the variable to be positively correlated with increasing gentrification, which simplifies constructing a composite index. This variable uses the individual-level weights and is called </w:t>
      </w:r>
      <w:r w:rsidR="002A2783" w:rsidRPr="0025530F">
        <w:rPr>
          <w:rFonts w:cs="Times New Roman"/>
          <w:b/>
        </w:rPr>
        <w:t>UTF</w:t>
      </w:r>
      <w:r w:rsidR="002A2783">
        <w:rPr>
          <w:rFonts w:cs="Times New Roman"/>
        </w:rPr>
        <w:t xml:space="preserve"> </w:t>
      </w:r>
      <w:r w:rsidR="0025530F">
        <w:rPr>
          <w:rFonts w:cs="Times New Roman"/>
        </w:rPr>
        <w:t xml:space="preserve">for </w:t>
      </w:r>
      <w:r w:rsidR="002A2783">
        <w:rPr>
          <w:rFonts w:cs="Times New Roman"/>
        </w:rPr>
        <w:t>percent under thirty-five.</w:t>
      </w:r>
    </w:p>
    <w:p w14:paraId="4E47F175" w14:textId="3799B143" w:rsidR="00A438E5" w:rsidRPr="006F346A" w:rsidRDefault="00A438E5" w:rsidP="006F346A">
      <w:pPr>
        <w:pStyle w:val="ListParagraph"/>
        <w:numPr>
          <w:ilvl w:val="0"/>
          <w:numId w:val="2"/>
        </w:numPr>
        <w:rPr>
          <w:rFonts w:cs="Times New Roman"/>
        </w:rPr>
      </w:pPr>
      <w:r w:rsidRPr="006F346A">
        <w:rPr>
          <w:rFonts w:cs="Times New Roman"/>
          <w:b/>
        </w:rPr>
        <w:t>Race</w:t>
      </w:r>
      <w:r w:rsidR="00C15A4A" w:rsidRPr="006F346A">
        <w:rPr>
          <w:rFonts w:cs="Times New Roman"/>
        </w:rPr>
        <w:t xml:space="preserve">: Since race is a categorical variable, some categories </w:t>
      </w:r>
      <w:r w:rsidR="004E0F77">
        <w:rPr>
          <w:rFonts w:cs="Times New Roman"/>
        </w:rPr>
        <w:t xml:space="preserve">must be grouped together to get </w:t>
      </w:r>
      <w:r w:rsidR="00C15A4A" w:rsidRPr="006F346A">
        <w:rPr>
          <w:rFonts w:cs="Times New Roman"/>
        </w:rPr>
        <w:t xml:space="preserve">a single figure for each neighborhood. </w:t>
      </w:r>
      <w:r w:rsidR="0076373A">
        <w:rPr>
          <w:rFonts w:cs="Times New Roman"/>
        </w:rPr>
        <w:t xml:space="preserve">The construction that has the best </w:t>
      </w:r>
      <w:r w:rsidR="0076373A">
        <w:rPr>
          <w:rFonts w:cs="Times New Roman"/>
        </w:rPr>
        <w:lastRenderedPageBreak/>
        <w:t xml:space="preserve">correspondence to the task of identifying gentrified neighborhoods is again to align it with the archetypal gentrifier, who is white. Thus for this variable I use </w:t>
      </w:r>
      <w:r w:rsidR="00C15A4A" w:rsidRPr="006F346A">
        <w:rPr>
          <w:rFonts w:cs="Times New Roman"/>
        </w:rPr>
        <w:t xml:space="preserve">the percent of the neighborhood </w:t>
      </w:r>
      <w:r w:rsidR="0076373A">
        <w:rPr>
          <w:rFonts w:cs="Times New Roman"/>
        </w:rPr>
        <w:t>respondents who identify</w:t>
      </w:r>
      <w:r w:rsidR="00C15A4A" w:rsidRPr="006F346A">
        <w:rPr>
          <w:rFonts w:cs="Times New Roman"/>
        </w:rPr>
        <w:t xml:space="preserve"> as white. Most gentrified neighborhoods were formerly home to African-American or Latino communities, </w:t>
      </w:r>
      <w:r w:rsidR="0076373A">
        <w:rPr>
          <w:rFonts w:cs="Times New Roman"/>
        </w:rPr>
        <w:t xml:space="preserve">so </w:t>
      </w:r>
      <w:r w:rsidR="00C15A4A" w:rsidRPr="006F346A">
        <w:rPr>
          <w:rFonts w:cs="Times New Roman"/>
        </w:rPr>
        <w:t xml:space="preserve">tracking </w:t>
      </w:r>
      <w:r w:rsidR="00FC5BD8" w:rsidRPr="006F346A">
        <w:rPr>
          <w:rFonts w:cs="Times New Roman"/>
        </w:rPr>
        <w:t>the increase in</w:t>
      </w:r>
      <w:r w:rsidR="00C15A4A" w:rsidRPr="006F346A">
        <w:rPr>
          <w:rFonts w:cs="Times New Roman"/>
        </w:rPr>
        <w:t xml:space="preserve"> the percentage of white residents should give us an indication of gentrification.</w:t>
      </w:r>
      <w:r w:rsidR="00A14985" w:rsidRPr="006F346A">
        <w:rPr>
          <w:rFonts w:cs="Times New Roman"/>
        </w:rPr>
        <w:t xml:space="preserve"> The ACS records “race” and “Hispanic origin” as separate</w:t>
      </w:r>
      <w:r w:rsidR="00C15A4A" w:rsidRPr="006F346A">
        <w:rPr>
          <w:rFonts w:cs="Times New Roman"/>
        </w:rPr>
        <w:t xml:space="preserve"> </w:t>
      </w:r>
      <w:r w:rsidR="00A14985" w:rsidRPr="006F346A">
        <w:rPr>
          <w:rFonts w:cs="Times New Roman"/>
        </w:rPr>
        <w:t xml:space="preserve">measures, therefore our “percent white” figure will combine these variables and count only the number of non-Hispanic whites. </w:t>
      </w:r>
      <w:r w:rsidR="00FC5BD8" w:rsidRPr="006F346A">
        <w:rPr>
          <w:rFonts w:cs="Times New Roman"/>
        </w:rPr>
        <w:t>It is important to note that</w:t>
      </w:r>
      <w:r w:rsidR="00C15A4A" w:rsidRPr="006F346A">
        <w:rPr>
          <w:rFonts w:cs="Times New Roman"/>
        </w:rPr>
        <w:t xml:space="preserve"> in Brooklyn’s Greenpoint neighborhood</w:t>
      </w:r>
      <w:r w:rsidR="00FC5BD8" w:rsidRPr="006F346A">
        <w:rPr>
          <w:rFonts w:cs="Times New Roman"/>
        </w:rPr>
        <w:t>, for instance</w:t>
      </w:r>
      <w:r w:rsidR="0076373A">
        <w:rPr>
          <w:rFonts w:cs="Times New Roman"/>
        </w:rPr>
        <w:t>, the incumbent working-</w:t>
      </w:r>
      <w:r w:rsidR="00C15A4A" w:rsidRPr="006F346A">
        <w:rPr>
          <w:rFonts w:cs="Times New Roman"/>
        </w:rPr>
        <w:t xml:space="preserve">class residents are mostly </w:t>
      </w:r>
      <w:r w:rsidR="00607219">
        <w:rPr>
          <w:rFonts w:cs="Times New Roman"/>
        </w:rPr>
        <w:t>of Polish descent</w:t>
      </w:r>
      <w:r w:rsidR="00C15A4A" w:rsidRPr="006F346A">
        <w:rPr>
          <w:rFonts w:cs="Times New Roman"/>
        </w:rPr>
        <w:t>, therefore also white. Thus, this may not help identify gentrification in every neighborhood, but can be a good indicator for some.</w:t>
      </w:r>
      <w:r w:rsidR="002A2783">
        <w:rPr>
          <w:rFonts w:cs="Times New Roman"/>
        </w:rPr>
        <w:t xml:space="preserve"> I use </w:t>
      </w:r>
      <w:r w:rsidR="002A2783" w:rsidRPr="0076373A">
        <w:rPr>
          <w:rFonts w:cs="Times New Roman"/>
          <w:b/>
        </w:rPr>
        <w:t>WHT</w:t>
      </w:r>
      <w:r w:rsidR="002A2783">
        <w:rPr>
          <w:rFonts w:cs="Times New Roman"/>
        </w:rPr>
        <w:t xml:space="preserve"> to refe</w:t>
      </w:r>
      <w:r w:rsidR="0076373A">
        <w:rPr>
          <w:rFonts w:cs="Times New Roman"/>
        </w:rPr>
        <w:t>r to the percent white variable and it is constructed using the person-level weights.</w:t>
      </w:r>
    </w:p>
    <w:p w14:paraId="3906F0EB" w14:textId="2FFB4669" w:rsidR="00A438E5" w:rsidRPr="006F346A" w:rsidRDefault="00A438E5" w:rsidP="006F346A">
      <w:pPr>
        <w:pStyle w:val="ListParagraph"/>
        <w:numPr>
          <w:ilvl w:val="0"/>
          <w:numId w:val="2"/>
        </w:numPr>
        <w:rPr>
          <w:rFonts w:cs="Times New Roman"/>
        </w:rPr>
      </w:pPr>
      <w:r w:rsidRPr="006F346A">
        <w:rPr>
          <w:rFonts w:cs="Times New Roman"/>
          <w:b/>
        </w:rPr>
        <w:t>Household Income</w:t>
      </w:r>
      <w:r w:rsidR="00C15A4A" w:rsidRPr="006F346A">
        <w:rPr>
          <w:rFonts w:cs="Times New Roman"/>
          <w:b/>
        </w:rPr>
        <w:t>:</w:t>
      </w:r>
      <w:r w:rsidR="00C15A4A" w:rsidRPr="006F346A">
        <w:rPr>
          <w:rFonts w:cs="Times New Roman"/>
        </w:rPr>
        <w:t xml:space="preserve"> </w:t>
      </w:r>
      <w:r w:rsidR="00757484" w:rsidRPr="006F346A">
        <w:rPr>
          <w:rFonts w:cs="Times New Roman"/>
        </w:rPr>
        <w:t>I use the median</w:t>
      </w:r>
      <w:r w:rsidR="009815C8">
        <w:rPr>
          <w:rFonts w:cs="Times New Roman"/>
        </w:rPr>
        <w:t>, weighted at the household-level,</w:t>
      </w:r>
      <w:r w:rsidR="00757484" w:rsidRPr="006F346A">
        <w:rPr>
          <w:rFonts w:cs="Times New Roman"/>
        </w:rPr>
        <w:t xml:space="preserve"> as the statistic to measure household income. There are always large outliers for income (especially in NYC) so the mean is </w:t>
      </w:r>
      <w:r w:rsidR="009815C8">
        <w:rPr>
          <w:rFonts w:cs="Times New Roman"/>
        </w:rPr>
        <w:t xml:space="preserve">not a robust </w:t>
      </w:r>
      <w:r w:rsidR="00757484" w:rsidRPr="006F346A">
        <w:rPr>
          <w:rFonts w:cs="Times New Roman"/>
        </w:rPr>
        <w:t>estimator of the neighborhood’s average income level.</w:t>
      </w:r>
      <w:r w:rsidR="002A2783">
        <w:rPr>
          <w:rFonts w:cs="Times New Roman"/>
        </w:rPr>
        <w:t xml:space="preserve"> Median household income will be encoded </w:t>
      </w:r>
      <w:r w:rsidR="00135926">
        <w:rPr>
          <w:rFonts w:cs="Times New Roman"/>
        </w:rPr>
        <w:t>with</w:t>
      </w:r>
      <w:r w:rsidR="002A2783">
        <w:rPr>
          <w:rFonts w:cs="Times New Roman"/>
        </w:rPr>
        <w:t xml:space="preserve"> the variable </w:t>
      </w:r>
      <w:r w:rsidR="00135926">
        <w:rPr>
          <w:rFonts w:cs="Times New Roman"/>
        </w:rPr>
        <w:t xml:space="preserve">name </w:t>
      </w:r>
      <w:r w:rsidR="002A2783" w:rsidRPr="009815C8">
        <w:rPr>
          <w:rFonts w:cs="Times New Roman"/>
          <w:b/>
        </w:rPr>
        <w:t>MHI</w:t>
      </w:r>
      <w:r w:rsidR="002A2783">
        <w:rPr>
          <w:rFonts w:cs="Times New Roman"/>
        </w:rPr>
        <w:t>.</w:t>
      </w:r>
    </w:p>
    <w:p w14:paraId="5A5531EC" w14:textId="7D189356" w:rsidR="00A438E5" w:rsidRPr="006F346A" w:rsidRDefault="00A438E5" w:rsidP="006F346A">
      <w:pPr>
        <w:pStyle w:val="ListParagraph"/>
        <w:numPr>
          <w:ilvl w:val="0"/>
          <w:numId w:val="2"/>
        </w:numPr>
        <w:rPr>
          <w:rFonts w:cs="Times New Roman"/>
        </w:rPr>
      </w:pPr>
      <w:r w:rsidRPr="006F346A">
        <w:rPr>
          <w:rFonts w:cs="Times New Roman"/>
          <w:b/>
        </w:rPr>
        <w:t>Residential Mobility</w:t>
      </w:r>
      <w:r w:rsidR="00C15A4A" w:rsidRPr="006F346A">
        <w:rPr>
          <w:rFonts w:cs="Times New Roman"/>
        </w:rPr>
        <w:t xml:space="preserve">: </w:t>
      </w:r>
      <w:r w:rsidR="00501A6D" w:rsidRPr="006F346A">
        <w:rPr>
          <w:rFonts w:cs="Times New Roman"/>
        </w:rPr>
        <w:t xml:space="preserve">The raw data for residential mobility are a categorical measure of the number of years that the respondent has lived in her or his current home or unit. These categories are in uneven intervals, beginning with one year, then moving to two, five and ten year intervals; thus direct calculation of statistics such as the mean or median is not possible. Instead, I combine the first three categories to find the total proportion of residents who have moved in to their dwelling within the past five years. </w:t>
      </w:r>
      <w:r w:rsidR="00501A6D" w:rsidRPr="006F346A">
        <w:rPr>
          <w:rFonts w:cs="Times New Roman"/>
        </w:rPr>
        <w:lastRenderedPageBreak/>
        <w:t>This is a good indicator of what proportion of residents are highly mobile.</w:t>
      </w:r>
      <w:r w:rsidR="00135926">
        <w:rPr>
          <w:rFonts w:cs="Times New Roman"/>
        </w:rPr>
        <w:t xml:space="preserve"> Residential mobility </w:t>
      </w:r>
      <w:r w:rsidR="005F70B0">
        <w:rPr>
          <w:rFonts w:cs="Times New Roman"/>
        </w:rPr>
        <w:t>(</w:t>
      </w:r>
      <w:r w:rsidR="005F70B0" w:rsidRPr="005F70B0">
        <w:rPr>
          <w:rFonts w:cs="Times New Roman"/>
          <w:b/>
        </w:rPr>
        <w:t>RMB</w:t>
      </w:r>
      <w:r w:rsidR="005F70B0">
        <w:rPr>
          <w:rFonts w:cs="Times New Roman"/>
        </w:rPr>
        <w:t>) is calculated using household-level weights</w:t>
      </w:r>
      <w:r w:rsidR="00135926">
        <w:rPr>
          <w:rFonts w:cs="Times New Roman"/>
        </w:rPr>
        <w:t>.</w:t>
      </w:r>
    </w:p>
    <w:p w14:paraId="116920AD" w14:textId="52B3BADF" w:rsidR="00A438E5" w:rsidRPr="006F346A" w:rsidRDefault="00A438E5" w:rsidP="006F346A">
      <w:pPr>
        <w:pStyle w:val="ListParagraph"/>
        <w:numPr>
          <w:ilvl w:val="0"/>
          <w:numId w:val="2"/>
        </w:numPr>
        <w:rPr>
          <w:rFonts w:cs="Times New Roman"/>
        </w:rPr>
      </w:pPr>
      <w:r w:rsidRPr="006F346A">
        <w:rPr>
          <w:rFonts w:cs="Times New Roman"/>
          <w:b/>
        </w:rPr>
        <w:t>Occupation</w:t>
      </w:r>
      <w:r w:rsidR="00C15A4A" w:rsidRPr="006F346A">
        <w:rPr>
          <w:rFonts w:cs="Times New Roman"/>
        </w:rPr>
        <w:t xml:space="preserve">: </w:t>
      </w:r>
      <w:r w:rsidR="00501A6D" w:rsidRPr="006F346A">
        <w:rPr>
          <w:rFonts w:cs="Times New Roman"/>
        </w:rPr>
        <w:t xml:space="preserve">The ACS’s measurement of occupation is extremely detailed, including hundreds of different occupational categories. Past studies of gentrification generally </w:t>
      </w:r>
      <w:r w:rsidR="005F70B0">
        <w:rPr>
          <w:rFonts w:cs="Times New Roman"/>
        </w:rPr>
        <w:t xml:space="preserve">group </w:t>
      </w:r>
      <w:r w:rsidR="00501A6D" w:rsidRPr="006F346A">
        <w:rPr>
          <w:rFonts w:cs="Times New Roman"/>
        </w:rPr>
        <w:t xml:space="preserve">white collar workers, </w:t>
      </w:r>
      <w:r w:rsidR="005F70B0">
        <w:rPr>
          <w:rFonts w:cs="Times New Roman"/>
        </w:rPr>
        <w:t xml:space="preserve">and those in </w:t>
      </w:r>
      <w:r w:rsidR="00501A6D" w:rsidRPr="006F346A">
        <w:rPr>
          <w:rFonts w:cs="Times New Roman"/>
        </w:rPr>
        <w:t xml:space="preserve">professional, managerial, </w:t>
      </w:r>
      <w:r w:rsidR="005F70B0">
        <w:rPr>
          <w:rFonts w:cs="Times New Roman"/>
        </w:rPr>
        <w:t xml:space="preserve">or </w:t>
      </w:r>
      <w:r w:rsidR="00501A6D" w:rsidRPr="006F346A">
        <w:rPr>
          <w:rFonts w:cs="Times New Roman"/>
        </w:rPr>
        <w:t xml:space="preserve">technical fields. </w:t>
      </w:r>
      <w:r w:rsidR="008B5E5E" w:rsidRPr="006F346A">
        <w:rPr>
          <w:rFonts w:cs="Times New Roman"/>
        </w:rPr>
        <w:t>The codes are grouped thematically, making it easy to separate out groups of professions. Some groups included are: “Architecture and Engineering Occupations,” “Financial Specialists,” and “Management, Business, Science, and Arts Occupations” while some professions excluded are: “Protective Service Occupations,” “Office and Administrative Support Occupations,” and “Construction and Extraction Occupations.”</w:t>
      </w:r>
      <w:r w:rsidR="00135926">
        <w:rPr>
          <w:rFonts w:cs="Times New Roman"/>
        </w:rPr>
        <w:t xml:space="preserve"> The percent of residents with professional/managerial occupations </w:t>
      </w:r>
      <w:r w:rsidR="00D25944">
        <w:rPr>
          <w:rFonts w:cs="Times New Roman"/>
        </w:rPr>
        <w:t xml:space="preserve">is </w:t>
      </w:r>
      <w:r w:rsidR="00135926">
        <w:rPr>
          <w:rFonts w:cs="Times New Roman"/>
        </w:rPr>
        <w:t xml:space="preserve">given the variable name </w:t>
      </w:r>
      <w:r w:rsidR="00135926" w:rsidRPr="00D25944">
        <w:rPr>
          <w:rFonts w:cs="Times New Roman"/>
          <w:b/>
        </w:rPr>
        <w:t>OCC</w:t>
      </w:r>
      <w:r w:rsidR="00D25944">
        <w:rPr>
          <w:rFonts w:cs="Times New Roman"/>
        </w:rPr>
        <w:t xml:space="preserve"> and is calculated using the person-level weights.</w:t>
      </w:r>
    </w:p>
    <w:p w14:paraId="09173C95" w14:textId="3913A2DC" w:rsidR="00A438E5" w:rsidRPr="006F346A" w:rsidRDefault="00A438E5" w:rsidP="006F346A">
      <w:pPr>
        <w:pStyle w:val="ListParagraph"/>
        <w:numPr>
          <w:ilvl w:val="0"/>
          <w:numId w:val="2"/>
        </w:numPr>
        <w:rPr>
          <w:rFonts w:cs="Times New Roman"/>
        </w:rPr>
      </w:pPr>
      <w:r w:rsidRPr="006F346A">
        <w:rPr>
          <w:rFonts w:cs="Times New Roman"/>
          <w:b/>
        </w:rPr>
        <w:t>Educational Attainment</w:t>
      </w:r>
      <w:r w:rsidR="00C15A4A" w:rsidRPr="006F346A">
        <w:rPr>
          <w:rFonts w:cs="Times New Roman"/>
        </w:rPr>
        <w:t xml:space="preserve">: </w:t>
      </w:r>
      <w:r w:rsidR="0082727D" w:rsidRPr="006F346A">
        <w:rPr>
          <w:rFonts w:cs="Times New Roman"/>
        </w:rPr>
        <w:t xml:space="preserve">Educational attainment is also provided as a categorical variable in the ACS. </w:t>
      </w:r>
      <w:r w:rsidR="008721C5" w:rsidRPr="006F346A">
        <w:rPr>
          <w:rFonts w:cs="Times New Roman"/>
        </w:rPr>
        <w:t xml:space="preserve">Both Clemmer </w:t>
      </w:r>
      <w:r w:rsidR="008721C5">
        <w:rPr>
          <w:rFonts w:cs="Times New Roman"/>
        </w:rPr>
        <w:t>(</w:t>
      </w:r>
      <w:r w:rsidR="00502AAC">
        <w:rPr>
          <w:rFonts w:cs="Times New Roman"/>
        </w:rPr>
        <w:t>2000</w:t>
      </w:r>
      <w:r w:rsidR="008721C5">
        <w:rPr>
          <w:rFonts w:cs="Times New Roman"/>
        </w:rPr>
        <w:t xml:space="preserve">) </w:t>
      </w:r>
      <w:r w:rsidR="008721C5" w:rsidRPr="006F346A">
        <w:rPr>
          <w:rFonts w:cs="Times New Roman"/>
        </w:rPr>
        <w:t xml:space="preserve">and Wyly &amp; Hammel </w:t>
      </w:r>
      <w:r w:rsidR="008721C5">
        <w:rPr>
          <w:rFonts w:cs="Times New Roman"/>
        </w:rPr>
        <w:t>(</w:t>
      </w:r>
      <w:r w:rsidR="00502AAC">
        <w:rPr>
          <w:rFonts w:cs="Times New Roman"/>
        </w:rPr>
        <w:t>1996</w:t>
      </w:r>
      <w:r w:rsidR="008721C5">
        <w:rPr>
          <w:rFonts w:cs="Times New Roman"/>
        </w:rPr>
        <w:t xml:space="preserve">) </w:t>
      </w:r>
      <w:r w:rsidR="008721C5" w:rsidRPr="006F346A">
        <w:rPr>
          <w:rFonts w:cs="Times New Roman"/>
        </w:rPr>
        <w:t>use the percent of the population with a Bachelor’s degree as their indicator of educational attainment in studying gentrification, since middle-class gentrifiers tend to be college-educated.</w:t>
      </w:r>
      <w:r w:rsidR="008721C5">
        <w:rPr>
          <w:rFonts w:cs="Times New Roman"/>
        </w:rPr>
        <w:t xml:space="preserve"> I believe that those who have received </w:t>
      </w:r>
      <w:r w:rsidR="008721C5" w:rsidRPr="008721C5">
        <w:rPr>
          <w:rFonts w:cs="Times New Roman"/>
          <w:i/>
        </w:rPr>
        <w:t>some</w:t>
      </w:r>
      <w:r w:rsidR="008721C5">
        <w:rPr>
          <w:rFonts w:cs="Times New Roman"/>
        </w:rPr>
        <w:t xml:space="preserve"> college education are more similar to those who have a four-year degree, than to those who did not seek more schooling after high school. Thus </w:t>
      </w:r>
      <w:r w:rsidR="0082727D" w:rsidRPr="006F346A">
        <w:rPr>
          <w:rFonts w:cs="Times New Roman"/>
        </w:rPr>
        <w:t xml:space="preserve">I </w:t>
      </w:r>
      <w:r w:rsidR="008721C5">
        <w:rPr>
          <w:rFonts w:cs="Times New Roman"/>
        </w:rPr>
        <w:t>have decided to group</w:t>
      </w:r>
      <w:r w:rsidR="0082727D" w:rsidRPr="006F346A">
        <w:rPr>
          <w:rFonts w:cs="Times New Roman"/>
        </w:rPr>
        <w:t xml:space="preserve"> the </w:t>
      </w:r>
      <w:r w:rsidR="008721C5">
        <w:rPr>
          <w:rFonts w:cs="Times New Roman"/>
        </w:rPr>
        <w:t xml:space="preserve">upper </w:t>
      </w:r>
      <w:r w:rsidR="0082727D" w:rsidRPr="006F346A">
        <w:rPr>
          <w:rFonts w:cs="Times New Roman"/>
        </w:rPr>
        <w:t xml:space="preserve">categories together to separate those with </w:t>
      </w:r>
      <w:r w:rsidR="008721C5">
        <w:rPr>
          <w:rFonts w:cs="Times New Roman"/>
        </w:rPr>
        <w:t xml:space="preserve">any college education </w:t>
      </w:r>
      <w:r w:rsidR="0082727D" w:rsidRPr="006F346A">
        <w:rPr>
          <w:rFonts w:cs="Times New Roman"/>
        </w:rPr>
        <w:t xml:space="preserve">from those who have </w:t>
      </w:r>
      <w:r w:rsidR="008721C5">
        <w:rPr>
          <w:rFonts w:cs="Times New Roman"/>
        </w:rPr>
        <w:t xml:space="preserve">up to </w:t>
      </w:r>
      <w:r w:rsidR="0082727D" w:rsidRPr="006F346A">
        <w:rPr>
          <w:rFonts w:cs="Times New Roman"/>
        </w:rPr>
        <w:t xml:space="preserve">a high school </w:t>
      </w:r>
      <w:r w:rsidR="008721C5">
        <w:rPr>
          <w:rFonts w:cs="Times New Roman"/>
        </w:rPr>
        <w:t xml:space="preserve">diploma. </w:t>
      </w:r>
      <w:r w:rsidR="00135926">
        <w:rPr>
          <w:rFonts w:cs="Times New Roman"/>
        </w:rPr>
        <w:t xml:space="preserve">The educational attainment variable </w:t>
      </w:r>
      <w:r w:rsidR="008721C5">
        <w:rPr>
          <w:rFonts w:cs="Times New Roman"/>
        </w:rPr>
        <w:t xml:space="preserve">uses the person-level weights </w:t>
      </w:r>
      <w:r w:rsidR="0026155A">
        <w:rPr>
          <w:rFonts w:cs="Times New Roman"/>
        </w:rPr>
        <w:t xml:space="preserve">and is </w:t>
      </w:r>
      <w:r w:rsidR="00135926">
        <w:rPr>
          <w:rFonts w:cs="Times New Roman"/>
        </w:rPr>
        <w:t xml:space="preserve">called </w:t>
      </w:r>
      <w:r w:rsidR="00135926" w:rsidRPr="008721C5">
        <w:rPr>
          <w:rFonts w:cs="Times New Roman"/>
          <w:b/>
        </w:rPr>
        <w:t>EDU</w:t>
      </w:r>
      <w:r w:rsidR="00135926">
        <w:rPr>
          <w:rFonts w:cs="Times New Roman"/>
        </w:rPr>
        <w:t>.</w:t>
      </w:r>
    </w:p>
    <w:p w14:paraId="5B7BC84A" w14:textId="40A7AF2D" w:rsidR="00A438E5" w:rsidRPr="006F346A" w:rsidRDefault="00A438E5" w:rsidP="006F346A">
      <w:pPr>
        <w:pStyle w:val="ListParagraph"/>
        <w:numPr>
          <w:ilvl w:val="0"/>
          <w:numId w:val="2"/>
        </w:numPr>
        <w:rPr>
          <w:rFonts w:cs="Times New Roman"/>
        </w:rPr>
      </w:pPr>
      <w:r w:rsidRPr="006F346A">
        <w:rPr>
          <w:rFonts w:cs="Times New Roman"/>
          <w:b/>
        </w:rPr>
        <w:t>Property Value</w:t>
      </w:r>
      <w:r w:rsidR="00C15A4A" w:rsidRPr="006F346A">
        <w:rPr>
          <w:rFonts w:cs="Times New Roman"/>
        </w:rPr>
        <w:t xml:space="preserve">: </w:t>
      </w:r>
      <w:r w:rsidR="00031BD8" w:rsidRPr="006F346A">
        <w:rPr>
          <w:rFonts w:cs="Times New Roman"/>
        </w:rPr>
        <w:t xml:space="preserve">There are several different variables available in the ACS that could measure property value: house value, property taxes, and owner-occupied unit monthly </w:t>
      </w:r>
      <w:r w:rsidR="00031BD8" w:rsidRPr="006F346A">
        <w:rPr>
          <w:rFonts w:cs="Times New Roman"/>
        </w:rPr>
        <w:lastRenderedPageBreak/>
        <w:t>costs</w:t>
      </w:r>
      <w:r w:rsidR="00A14985" w:rsidRPr="006F346A">
        <w:rPr>
          <w:rFonts w:cs="Times New Roman"/>
        </w:rPr>
        <w:t>.</w:t>
      </w:r>
      <w:r w:rsidR="0082727D" w:rsidRPr="006F346A">
        <w:rPr>
          <w:rFonts w:cs="Times New Roman"/>
        </w:rPr>
        <w:t xml:space="preserve"> </w:t>
      </w:r>
      <w:r w:rsidR="00031BD8" w:rsidRPr="006F346A">
        <w:rPr>
          <w:rFonts w:cs="Times New Roman"/>
        </w:rPr>
        <w:t>Both house value and owner costs are given in real dollars, while property taxes are given in intervals of unequal size. M</w:t>
      </w:r>
      <w:r w:rsidR="0082727D" w:rsidRPr="006F346A">
        <w:rPr>
          <w:rFonts w:cs="Times New Roman"/>
        </w:rPr>
        <w:t xml:space="preserve">any New Yorkers live in apartment buildings, so </w:t>
      </w:r>
      <w:r w:rsidR="0047022E" w:rsidRPr="006F346A">
        <w:rPr>
          <w:rFonts w:cs="Times New Roman"/>
        </w:rPr>
        <w:t>the</w:t>
      </w:r>
      <w:r w:rsidR="00A14985" w:rsidRPr="006F346A">
        <w:rPr>
          <w:rFonts w:cs="Times New Roman"/>
        </w:rPr>
        <w:t>s</w:t>
      </w:r>
      <w:r w:rsidR="0047022E" w:rsidRPr="006F346A">
        <w:rPr>
          <w:rFonts w:cs="Times New Roman"/>
        </w:rPr>
        <w:t>e</w:t>
      </w:r>
      <w:r w:rsidR="00A14985" w:rsidRPr="006F346A">
        <w:rPr>
          <w:rFonts w:cs="Times New Roman"/>
        </w:rPr>
        <w:t xml:space="preserve"> figure </w:t>
      </w:r>
      <w:r w:rsidR="0047022E" w:rsidRPr="006F346A">
        <w:rPr>
          <w:rFonts w:cs="Times New Roman"/>
        </w:rPr>
        <w:t xml:space="preserve">will </w:t>
      </w:r>
      <w:r w:rsidR="00A14985" w:rsidRPr="006F346A">
        <w:rPr>
          <w:rFonts w:cs="Times New Roman"/>
        </w:rPr>
        <w:t>be skewed for neighborhoods with smaller numbers of owner-occupied homes.</w:t>
      </w:r>
      <w:r w:rsidR="0074709E" w:rsidRPr="006F346A">
        <w:rPr>
          <w:rFonts w:cs="Times New Roman"/>
        </w:rPr>
        <w:t xml:space="preserve"> </w:t>
      </w:r>
      <w:r w:rsidR="0047022E" w:rsidRPr="006F346A">
        <w:rPr>
          <w:rFonts w:cs="Times New Roman"/>
        </w:rPr>
        <w:t xml:space="preserve">Indeed, for all respondents who reported paying any amount of rent (non-zero value), the house value is top-coded at $10,000,000. Property values for what appear to be apartment buildings should be excluded, while it must be noted that some neighborhoods in New York City will have actual homes valued at $10 million or more, therefore home values must be evaluated in combination with </w:t>
      </w:r>
      <w:r w:rsidR="006F2705" w:rsidRPr="006F346A">
        <w:rPr>
          <w:rFonts w:cs="Times New Roman"/>
        </w:rPr>
        <w:t>o</w:t>
      </w:r>
      <w:r w:rsidR="0047022E" w:rsidRPr="006F346A">
        <w:rPr>
          <w:rFonts w:cs="Times New Roman"/>
        </w:rPr>
        <w:t>the</w:t>
      </w:r>
      <w:r w:rsidR="006F2705" w:rsidRPr="006F346A">
        <w:rPr>
          <w:rFonts w:cs="Times New Roman"/>
        </w:rPr>
        <w:t>r</w:t>
      </w:r>
      <w:r w:rsidR="0047022E" w:rsidRPr="006F346A">
        <w:rPr>
          <w:rFonts w:cs="Times New Roman"/>
        </w:rPr>
        <w:t xml:space="preserve"> measures to determine which correspond to </w:t>
      </w:r>
      <w:r w:rsidR="006F2705" w:rsidRPr="006F346A">
        <w:rPr>
          <w:rFonts w:cs="Times New Roman"/>
        </w:rPr>
        <w:t>single units, and which to apartment buildings.</w:t>
      </w:r>
      <w:r w:rsidR="00A51EB5">
        <w:rPr>
          <w:rFonts w:cs="Times New Roman"/>
        </w:rPr>
        <w:t xml:space="preserve"> For respondents who report a non-zero value for their rent, I ignore their property value figure</w:t>
      </w:r>
      <w:r w:rsidR="00886DF5">
        <w:rPr>
          <w:rFonts w:cs="Times New Roman"/>
        </w:rPr>
        <w:t xml:space="preserve"> in the calculation of this statistic.</w:t>
      </w:r>
      <w:r w:rsidR="00135926">
        <w:rPr>
          <w:rFonts w:cs="Times New Roman"/>
        </w:rPr>
        <w:t xml:space="preserve"> I use </w:t>
      </w:r>
      <w:r w:rsidR="00135926" w:rsidRPr="00886DF5">
        <w:rPr>
          <w:rFonts w:cs="Times New Roman"/>
          <w:b/>
        </w:rPr>
        <w:t>MHV</w:t>
      </w:r>
      <w:r w:rsidR="00135926">
        <w:rPr>
          <w:rFonts w:cs="Times New Roman"/>
        </w:rPr>
        <w:t xml:space="preserve"> to refer to the median home value as constructed in this way</w:t>
      </w:r>
      <w:r w:rsidR="00886DF5">
        <w:rPr>
          <w:rFonts w:cs="Times New Roman"/>
        </w:rPr>
        <w:t>, using the household-level weights</w:t>
      </w:r>
      <w:r w:rsidR="00135926">
        <w:rPr>
          <w:rFonts w:cs="Times New Roman"/>
        </w:rPr>
        <w:t>.</w:t>
      </w:r>
    </w:p>
    <w:p w14:paraId="36BFA682" w14:textId="5BCFBF02" w:rsidR="00465A7C" w:rsidRDefault="00A438E5" w:rsidP="006F346A">
      <w:pPr>
        <w:pStyle w:val="ListParagraph"/>
        <w:numPr>
          <w:ilvl w:val="0"/>
          <w:numId w:val="2"/>
        </w:numPr>
        <w:rPr>
          <w:rFonts w:cs="Times New Roman"/>
        </w:rPr>
      </w:pPr>
      <w:r w:rsidRPr="006F346A">
        <w:rPr>
          <w:rFonts w:cs="Times New Roman"/>
          <w:b/>
        </w:rPr>
        <w:t>Rent</w:t>
      </w:r>
      <w:r w:rsidR="00C15A4A" w:rsidRPr="006F346A">
        <w:rPr>
          <w:rFonts w:cs="Times New Roman"/>
        </w:rPr>
        <w:t xml:space="preserve">: </w:t>
      </w:r>
      <w:r w:rsidR="00A14985" w:rsidRPr="006F346A">
        <w:rPr>
          <w:rFonts w:cs="Times New Roman"/>
        </w:rPr>
        <w:t>The ACS inclu</w:t>
      </w:r>
      <w:r w:rsidR="0074709E" w:rsidRPr="006F346A">
        <w:rPr>
          <w:rFonts w:cs="Times New Roman"/>
        </w:rPr>
        <w:t xml:space="preserve">des data on both </w:t>
      </w:r>
      <w:r w:rsidR="00031BD8" w:rsidRPr="006F346A">
        <w:rPr>
          <w:rFonts w:cs="Times New Roman"/>
        </w:rPr>
        <w:t xml:space="preserve">monthly </w:t>
      </w:r>
      <w:r w:rsidR="0074709E" w:rsidRPr="006F346A">
        <w:rPr>
          <w:rFonts w:cs="Times New Roman"/>
        </w:rPr>
        <w:t xml:space="preserve">contract rent and gross </w:t>
      </w:r>
      <w:r w:rsidR="00031BD8" w:rsidRPr="006F346A">
        <w:rPr>
          <w:rFonts w:cs="Times New Roman"/>
        </w:rPr>
        <w:t xml:space="preserve">monthly </w:t>
      </w:r>
      <w:r w:rsidR="0074709E" w:rsidRPr="006F346A">
        <w:rPr>
          <w:rFonts w:cs="Times New Roman"/>
        </w:rPr>
        <w:t xml:space="preserve">rent (rent plus utilities). </w:t>
      </w:r>
      <w:r w:rsidR="00983716">
        <w:rPr>
          <w:rFonts w:cs="Times New Roman"/>
        </w:rPr>
        <w:t>I use gross rent, as it better corresponds to the total cost of living</w:t>
      </w:r>
      <w:r w:rsidR="0074709E" w:rsidRPr="006F346A">
        <w:rPr>
          <w:rFonts w:cs="Times New Roman"/>
        </w:rPr>
        <w:t xml:space="preserve">. </w:t>
      </w:r>
      <w:r w:rsidR="0050510B">
        <w:rPr>
          <w:rFonts w:cs="Times New Roman"/>
        </w:rPr>
        <w:t xml:space="preserve">Some rent contracts include utilities like gas and electricity, while others do not, thus gross rent should allow for more consistent comparisons of total living costs in different areas. This figure </w:t>
      </w:r>
      <w:r w:rsidR="0074709E" w:rsidRPr="006F346A">
        <w:rPr>
          <w:rFonts w:cs="Times New Roman"/>
        </w:rPr>
        <w:t xml:space="preserve">can be combined with property value figures to give a more complete picture of how </w:t>
      </w:r>
      <w:r w:rsidR="006F2705" w:rsidRPr="006F346A">
        <w:rPr>
          <w:rFonts w:cs="Times New Roman"/>
        </w:rPr>
        <w:t xml:space="preserve">rent changes concurrently with </w:t>
      </w:r>
      <w:r w:rsidR="0074709E" w:rsidRPr="006F346A">
        <w:rPr>
          <w:rFonts w:cs="Times New Roman"/>
        </w:rPr>
        <w:t>housing stock.</w:t>
      </w:r>
      <w:r w:rsidR="006F2705" w:rsidRPr="006F346A">
        <w:rPr>
          <w:rFonts w:cs="Times New Roman"/>
        </w:rPr>
        <w:t xml:space="preserve"> </w:t>
      </w:r>
      <w:r w:rsidR="004E0F77">
        <w:rPr>
          <w:rFonts w:cs="Times New Roman"/>
        </w:rPr>
        <w:t>R</w:t>
      </w:r>
      <w:r w:rsidR="006F2705" w:rsidRPr="006F346A">
        <w:rPr>
          <w:rFonts w:cs="Times New Roman"/>
        </w:rPr>
        <w:t xml:space="preserve">ent </w:t>
      </w:r>
      <w:r w:rsidR="004E0F77">
        <w:rPr>
          <w:rFonts w:cs="Times New Roman"/>
        </w:rPr>
        <w:t xml:space="preserve">may </w:t>
      </w:r>
      <w:r w:rsidR="006F2705" w:rsidRPr="006F346A">
        <w:rPr>
          <w:rFonts w:cs="Times New Roman"/>
        </w:rPr>
        <w:t>increase faster or earlier than property values because rental units turn over more quickly and can be renovated more quickly than a house. However, this may also lead rent figures to be more responsive to minor fluctuations in the market, while property values should be more stable over time.</w:t>
      </w:r>
      <w:r w:rsidR="00135926">
        <w:rPr>
          <w:rFonts w:cs="Times New Roman"/>
        </w:rPr>
        <w:t xml:space="preserve"> Median </w:t>
      </w:r>
      <w:r w:rsidR="0050510B">
        <w:rPr>
          <w:rFonts w:cs="Times New Roman"/>
        </w:rPr>
        <w:t xml:space="preserve">gross </w:t>
      </w:r>
      <w:r w:rsidR="00135926">
        <w:rPr>
          <w:rFonts w:cs="Times New Roman"/>
        </w:rPr>
        <w:t xml:space="preserve">rent </w:t>
      </w:r>
      <w:r w:rsidR="0050510B">
        <w:rPr>
          <w:rFonts w:cs="Times New Roman"/>
        </w:rPr>
        <w:t>(</w:t>
      </w:r>
      <w:r w:rsidR="0050510B" w:rsidRPr="0050510B">
        <w:rPr>
          <w:rFonts w:cs="Times New Roman"/>
          <w:b/>
        </w:rPr>
        <w:t>MGR</w:t>
      </w:r>
      <w:r w:rsidR="0050510B">
        <w:rPr>
          <w:rFonts w:cs="Times New Roman"/>
        </w:rPr>
        <w:t>) uses the household weights.</w:t>
      </w:r>
    </w:p>
    <w:p w14:paraId="5C4E3F32" w14:textId="5D1481B7" w:rsidR="00093C82" w:rsidRDefault="00093C82" w:rsidP="00561BCD">
      <w:pPr>
        <w:pStyle w:val="Heading1"/>
      </w:pPr>
      <w:r w:rsidRPr="00093C82">
        <w:t>Results</w:t>
      </w:r>
    </w:p>
    <w:p w14:paraId="6E81CE4E" w14:textId="77777777" w:rsidR="00561BCD" w:rsidRDefault="00561BCD" w:rsidP="00561BCD">
      <w:pPr>
        <w:rPr>
          <w:rFonts w:cs="Times New Roman"/>
        </w:rPr>
      </w:pPr>
      <w:r w:rsidRPr="006F346A">
        <w:rPr>
          <w:rFonts w:cs="Times New Roman"/>
        </w:rPr>
        <w:lastRenderedPageBreak/>
        <w:tab/>
        <w:t xml:space="preserve">After calculating the </w:t>
      </w:r>
      <w:r>
        <w:rPr>
          <w:rFonts w:cs="Times New Roman"/>
        </w:rPr>
        <w:t>demographic</w:t>
      </w:r>
      <w:r w:rsidRPr="006F346A">
        <w:rPr>
          <w:rFonts w:cs="Times New Roman"/>
        </w:rPr>
        <w:t xml:space="preserve"> statistics for each neighborhood, I </w:t>
      </w:r>
      <w:r>
        <w:rPr>
          <w:rFonts w:cs="Times New Roman"/>
        </w:rPr>
        <w:t xml:space="preserve">formed a composite index then examined the trend in the index over time to identify neighborhoods where the index is increasing. Since I do not have an objective measure of gentrification for these regions, I cannot perform a simple regression or classification analysis to identify gentrification. </w:t>
      </w:r>
    </w:p>
    <w:p w14:paraId="537568BE" w14:textId="0B8F583B" w:rsidR="00A74185" w:rsidRDefault="00CE7413" w:rsidP="00CE7413">
      <w:pPr>
        <w:ind w:firstLine="720"/>
      </w:pPr>
      <w:r>
        <w:t>Table 1 shows</w:t>
      </w:r>
      <w:r w:rsidR="00FB0329">
        <w:t xml:space="preserve"> the primary variables of interest aggregated for all of New York City over the seven survey years.</w:t>
      </w:r>
      <w:r w:rsidR="00135926">
        <w:t xml:space="preserve"> </w:t>
      </w:r>
      <w:r>
        <w:t xml:space="preserve">Immediately several trends are clear. </w:t>
      </w:r>
      <w:r w:rsidR="00A74185">
        <w:t xml:space="preserve">Median Gross Rent (MGR) </w:t>
      </w:r>
      <w:r w:rsidR="004C7058">
        <w:t xml:space="preserve">is steadily increasing. The effects of the market crash in 2008 are evident: Median Home Value (MHV) plummets after its high in 2007 at $625,000. The percent of adults with some college education </w:t>
      </w:r>
      <w:r w:rsidR="007646B3">
        <w:t xml:space="preserve">(EDU) </w:t>
      </w:r>
      <w:r w:rsidR="004C7058">
        <w:t>increases consistently, rising an</w:t>
      </w:r>
      <w:r w:rsidR="0017225C">
        <w:t xml:space="preserve"> entire 5% in just seven years</w:t>
      </w:r>
      <w:r w:rsidR="00B6340F">
        <w:t>, while the percent of adults under thirty-five (UTF) also rose steadily.</w:t>
      </w:r>
      <w:r w:rsidR="007646B3">
        <w:t xml:space="preserve"> Other variables do not display meaningful or consistent patterns. </w:t>
      </w:r>
    </w:p>
    <w:p w14:paraId="324779DF" w14:textId="75B9A702" w:rsidR="005A1518" w:rsidRPr="00D375EE" w:rsidRDefault="00135926" w:rsidP="00D375EE">
      <w:pPr>
        <w:ind w:firstLine="720"/>
      </w:pPr>
      <w:r>
        <w:t>All</w:t>
      </w:r>
      <w:r w:rsidR="00B14402">
        <w:t xml:space="preserve"> individual</w:t>
      </w:r>
      <w:r>
        <w:t xml:space="preserve"> neighborhood trends must be </w:t>
      </w:r>
      <w:r w:rsidR="00B14402">
        <w:t>compared to</w:t>
      </w:r>
      <w:r>
        <w:t xml:space="preserve"> the city-wide trend to be meaningful. For instance, </w:t>
      </w:r>
      <w:r w:rsidR="003337A6">
        <w:t xml:space="preserve">increases in rent are </w:t>
      </w:r>
      <w:r w:rsidR="00B14402">
        <w:t xml:space="preserve">widely </w:t>
      </w:r>
      <w:r w:rsidR="003337A6">
        <w:t xml:space="preserve">associated with gentrification, however, </w:t>
      </w:r>
      <w:r>
        <w:t xml:space="preserve">rent is increasing </w:t>
      </w:r>
      <w:r w:rsidR="003337A6">
        <w:t xml:space="preserve">in aggregate </w:t>
      </w:r>
      <w:r>
        <w:t xml:space="preserve">across the city, thus a </w:t>
      </w:r>
      <w:r w:rsidR="00B14402">
        <w:t xml:space="preserve">gentrifying </w:t>
      </w:r>
      <w:r>
        <w:t xml:space="preserve">neighborhood </w:t>
      </w:r>
      <w:r w:rsidR="00B14402">
        <w:t xml:space="preserve">should </w:t>
      </w:r>
      <w:r>
        <w:t xml:space="preserve">experience </w:t>
      </w:r>
      <w:r w:rsidR="003337A6">
        <w:t xml:space="preserve">particularly high </w:t>
      </w:r>
      <w:r>
        <w:t xml:space="preserve">rent increases </w:t>
      </w:r>
      <w:r w:rsidR="003337A6">
        <w:t xml:space="preserve">compared to </w:t>
      </w:r>
      <w:r>
        <w:t xml:space="preserve">this average </w:t>
      </w:r>
      <w:r w:rsidR="003337A6">
        <w:t xml:space="preserve">increase </w:t>
      </w:r>
      <w:r>
        <w:t xml:space="preserve">in order to distinguish it from </w:t>
      </w:r>
      <w:r w:rsidR="003337A6">
        <w:t xml:space="preserve">other neighborhoods in the </w:t>
      </w:r>
      <w:r>
        <w:t>city.</w:t>
      </w:r>
    </w:p>
    <w:p w14:paraId="7D3442EE" w14:textId="3EF75A14" w:rsidR="00CE7413" w:rsidRDefault="00CE7413" w:rsidP="005A1518">
      <w:r>
        <w:rPr>
          <w:b/>
        </w:rPr>
        <w:t>Table 1. Aggregate Demographic Indicators in NYC between 2005 and 2011</w:t>
      </w:r>
    </w:p>
    <w:tbl>
      <w:tblPr>
        <w:tblW w:w="7897" w:type="dxa"/>
        <w:jc w:val="center"/>
        <w:tblLook w:val="04A0" w:firstRow="1" w:lastRow="0" w:firstColumn="1" w:lastColumn="0" w:noHBand="0" w:noVBand="1"/>
      </w:tblPr>
      <w:tblGrid>
        <w:gridCol w:w="929"/>
        <w:gridCol w:w="996"/>
        <w:gridCol w:w="876"/>
        <w:gridCol w:w="1116"/>
        <w:gridCol w:w="804"/>
        <w:gridCol w:w="777"/>
        <w:gridCol w:w="749"/>
        <w:gridCol w:w="832"/>
        <w:gridCol w:w="818"/>
      </w:tblGrid>
      <w:tr w:rsidR="004C7058" w:rsidRPr="002A2783" w14:paraId="642C2CB3" w14:textId="77777777" w:rsidTr="00B14402">
        <w:trPr>
          <w:trHeight w:val="300"/>
          <w:jc w:val="center"/>
        </w:trPr>
        <w:tc>
          <w:tcPr>
            <w:tcW w:w="929" w:type="dxa"/>
            <w:tcBorders>
              <w:top w:val="nil"/>
              <w:left w:val="nil"/>
              <w:bottom w:val="single" w:sz="4" w:space="0" w:color="auto"/>
              <w:right w:val="single" w:sz="4" w:space="0" w:color="auto"/>
            </w:tcBorders>
            <w:shd w:val="clear" w:color="auto" w:fill="auto"/>
            <w:noWrap/>
            <w:vAlign w:val="bottom"/>
            <w:hideMark/>
          </w:tcPr>
          <w:p w14:paraId="0290649A" w14:textId="732DFEBB" w:rsidR="004C7058" w:rsidRPr="004C7058" w:rsidRDefault="004C7058" w:rsidP="004C7058">
            <w:pPr>
              <w:spacing w:line="240" w:lineRule="auto"/>
              <w:jc w:val="right"/>
              <w:rPr>
                <w:rFonts w:eastAsia="Times New Roman" w:cs="Times New Roman"/>
                <w:b/>
                <w:color w:val="000000"/>
                <w:sz w:val="22"/>
                <w:szCs w:val="22"/>
              </w:rPr>
            </w:pPr>
            <w:r w:rsidRPr="004C7058">
              <w:rPr>
                <w:rFonts w:cs="Times New Roman"/>
                <w:b/>
                <w:color w:val="000000"/>
                <w:sz w:val="22"/>
                <w:szCs w:val="22"/>
              </w:rPr>
              <w:t>YEAR</w:t>
            </w:r>
          </w:p>
        </w:tc>
        <w:tc>
          <w:tcPr>
            <w:tcW w:w="996" w:type="dxa"/>
            <w:tcBorders>
              <w:top w:val="nil"/>
              <w:left w:val="single" w:sz="4" w:space="0" w:color="auto"/>
              <w:bottom w:val="single" w:sz="4" w:space="0" w:color="auto"/>
              <w:right w:val="nil"/>
            </w:tcBorders>
            <w:shd w:val="clear" w:color="auto" w:fill="auto"/>
            <w:noWrap/>
            <w:vAlign w:val="bottom"/>
            <w:hideMark/>
          </w:tcPr>
          <w:p w14:paraId="7870187F" w14:textId="73E77ED3" w:rsidR="004C7058" w:rsidRPr="004C7058" w:rsidRDefault="004C7058" w:rsidP="004C7058">
            <w:pPr>
              <w:spacing w:line="240" w:lineRule="auto"/>
              <w:jc w:val="right"/>
              <w:rPr>
                <w:rFonts w:eastAsia="Times New Roman" w:cs="Times New Roman"/>
                <w:b/>
                <w:color w:val="000000"/>
                <w:sz w:val="22"/>
                <w:szCs w:val="22"/>
              </w:rPr>
            </w:pPr>
            <w:r w:rsidRPr="004C7058">
              <w:rPr>
                <w:rFonts w:cs="Times New Roman"/>
                <w:b/>
                <w:color w:val="000000"/>
                <w:sz w:val="22"/>
                <w:szCs w:val="22"/>
              </w:rPr>
              <w:t>MHI</w:t>
            </w:r>
          </w:p>
        </w:tc>
        <w:tc>
          <w:tcPr>
            <w:tcW w:w="876" w:type="dxa"/>
            <w:tcBorders>
              <w:top w:val="nil"/>
              <w:left w:val="nil"/>
              <w:bottom w:val="single" w:sz="4" w:space="0" w:color="auto"/>
              <w:right w:val="nil"/>
            </w:tcBorders>
            <w:shd w:val="clear" w:color="auto" w:fill="auto"/>
            <w:noWrap/>
            <w:vAlign w:val="bottom"/>
            <w:hideMark/>
          </w:tcPr>
          <w:p w14:paraId="7F68B4F3" w14:textId="014EFD63" w:rsidR="004C7058" w:rsidRPr="004C7058" w:rsidRDefault="004C7058" w:rsidP="004C7058">
            <w:pPr>
              <w:spacing w:line="240" w:lineRule="auto"/>
              <w:jc w:val="right"/>
              <w:rPr>
                <w:rFonts w:eastAsia="Times New Roman" w:cs="Times New Roman"/>
                <w:b/>
                <w:color w:val="000000"/>
                <w:sz w:val="22"/>
                <w:szCs w:val="22"/>
              </w:rPr>
            </w:pPr>
            <w:r w:rsidRPr="004C7058">
              <w:rPr>
                <w:rFonts w:cs="Times New Roman"/>
                <w:b/>
                <w:color w:val="000000"/>
                <w:sz w:val="22"/>
                <w:szCs w:val="22"/>
              </w:rPr>
              <w:t>MGR</w:t>
            </w:r>
          </w:p>
        </w:tc>
        <w:tc>
          <w:tcPr>
            <w:tcW w:w="1116" w:type="dxa"/>
            <w:tcBorders>
              <w:top w:val="nil"/>
              <w:left w:val="nil"/>
              <w:bottom w:val="single" w:sz="4" w:space="0" w:color="auto"/>
              <w:right w:val="nil"/>
            </w:tcBorders>
            <w:shd w:val="clear" w:color="auto" w:fill="auto"/>
            <w:noWrap/>
            <w:vAlign w:val="bottom"/>
            <w:hideMark/>
          </w:tcPr>
          <w:p w14:paraId="72A0652C" w14:textId="5009DA90" w:rsidR="004C7058" w:rsidRPr="004C7058" w:rsidRDefault="004C7058" w:rsidP="004C7058">
            <w:pPr>
              <w:spacing w:line="240" w:lineRule="auto"/>
              <w:jc w:val="right"/>
              <w:rPr>
                <w:rFonts w:eastAsia="Times New Roman" w:cs="Times New Roman"/>
                <w:b/>
                <w:color w:val="000000"/>
                <w:sz w:val="22"/>
                <w:szCs w:val="22"/>
              </w:rPr>
            </w:pPr>
            <w:r w:rsidRPr="004C7058">
              <w:rPr>
                <w:rFonts w:cs="Times New Roman"/>
                <w:b/>
                <w:color w:val="000000"/>
                <w:sz w:val="22"/>
                <w:szCs w:val="22"/>
              </w:rPr>
              <w:t>MHV</w:t>
            </w:r>
          </w:p>
        </w:tc>
        <w:tc>
          <w:tcPr>
            <w:tcW w:w="804" w:type="dxa"/>
            <w:tcBorders>
              <w:top w:val="nil"/>
              <w:left w:val="nil"/>
              <w:bottom w:val="single" w:sz="4" w:space="0" w:color="auto"/>
              <w:right w:val="nil"/>
            </w:tcBorders>
            <w:shd w:val="clear" w:color="auto" w:fill="auto"/>
            <w:noWrap/>
            <w:vAlign w:val="bottom"/>
            <w:hideMark/>
          </w:tcPr>
          <w:p w14:paraId="0E5632DD" w14:textId="5890B314" w:rsidR="004C7058" w:rsidRPr="004C7058" w:rsidRDefault="004C7058" w:rsidP="004C7058">
            <w:pPr>
              <w:spacing w:line="240" w:lineRule="auto"/>
              <w:jc w:val="right"/>
              <w:rPr>
                <w:rFonts w:eastAsia="Times New Roman" w:cs="Times New Roman"/>
                <w:b/>
                <w:color w:val="000000"/>
                <w:sz w:val="22"/>
                <w:szCs w:val="22"/>
              </w:rPr>
            </w:pPr>
            <w:r w:rsidRPr="004C7058">
              <w:rPr>
                <w:rFonts w:cs="Times New Roman"/>
                <w:b/>
                <w:color w:val="000000"/>
                <w:sz w:val="22"/>
                <w:szCs w:val="22"/>
              </w:rPr>
              <w:t>RMB</w:t>
            </w:r>
          </w:p>
        </w:tc>
        <w:tc>
          <w:tcPr>
            <w:tcW w:w="777" w:type="dxa"/>
            <w:tcBorders>
              <w:top w:val="nil"/>
              <w:left w:val="nil"/>
              <w:bottom w:val="single" w:sz="4" w:space="0" w:color="auto"/>
              <w:right w:val="nil"/>
            </w:tcBorders>
            <w:shd w:val="clear" w:color="auto" w:fill="auto"/>
            <w:noWrap/>
            <w:vAlign w:val="bottom"/>
            <w:hideMark/>
          </w:tcPr>
          <w:p w14:paraId="1BE9EEBA" w14:textId="3544F80D" w:rsidR="004C7058" w:rsidRPr="004C7058" w:rsidRDefault="004C7058" w:rsidP="004C7058">
            <w:pPr>
              <w:spacing w:line="240" w:lineRule="auto"/>
              <w:jc w:val="right"/>
              <w:rPr>
                <w:rFonts w:eastAsia="Times New Roman" w:cs="Times New Roman"/>
                <w:b/>
                <w:color w:val="000000"/>
                <w:sz w:val="22"/>
                <w:szCs w:val="22"/>
              </w:rPr>
            </w:pPr>
            <w:r w:rsidRPr="004C7058">
              <w:rPr>
                <w:rFonts w:cs="Times New Roman"/>
                <w:b/>
                <w:color w:val="000000"/>
                <w:sz w:val="22"/>
                <w:szCs w:val="22"/>
              </w:rPr>
              <w:t>OCC</w:t>
            </w:r>
          </w:p>
        </w:tc>
        <w:tc>
          <w:tcPr>
            <w:tcW w:w="749" w:type="dxa"/>
            <w:tcBorders>
              <w:top w:val="nil"/>
              <w:left w:val="nil"/>
              <w:bottom w:val="single" w:sz="4" w:space="0" w:color="auto"/>
              <w:right w:val="nil"/>
            </w:tcBorders>
            <w:shd w:val="clear" w:color="auto" w:fill="auto"/>
            <w:noWrap/>
            <w:vAlign w:val="bottom"/>
            <w:hideMark/>
          </w:tcPr>
          <w:p w14:paraId="78781003" w14:textId="4BF23B89" w:rsidR="004C7058" w:rsidRPr="004C7058" w:rsidRDefault="004C7058" w:rsidP="004C7058">
            <w:pPr>
              <w:spacing w:line="240" w:lineRule="auto"/>
              <w:jc w:val="right"/>
              <w:rPr>
                <w:rFonts w:eastAsia="Times New Roman" w:cs="Times New Roman"/>
                <w:b/>
                <w:color w:val="000000"/>
                <w:sz w:val="22"/>
                <w:szCs w:val="22"/>
              </w:rPr>
            </w:pPr>
            <w:r w:rsidRPr="004C7058">
              <w:rPr>
                <w:rFonts w:cs="Times New Roman"/>
                <w:b/>
                <w:color w:val="000000"/>
                <w:sz w:val="22"/>
                <w:szCs w:val="22"/>
              </w:rPr>
              <w:t>ED</w:t>
            </w:r>
            <w:r>
              <w:rPr>
                <w:rFonts w:cs="Times New Roman"/>
                <w:b/>
                <w:color w:val="000000"/>
                <w:sz w:val="22"/>
                <w:szCs w:val="22"/>
              </w:rPr>
              <w:t>U</w:t>
            </w:r>
          </w:p>
        </w:tc>
        <w:tc>
          <w:tcPr>
            <w:tcW w:w="832" w:type="dxa"/>
            <w:tcBorders>
              <w:top w:val="nil"/>
              <w:left w:val="nil"/>
              <w:bottom w:val="single" w:sz="4" w:space="0" w:color="auto"/>
              <w:right w:val="nil"/>
            </w:tcBorders>
            <w:shd w:val="clear" w:color="auto" w:fill="auto"/>
            <w:noWrap/>
            <w:vAlign w:val="bottom"/>
            <w:hideMark/>
          </w:tcPr>
          <w:p w14:paraId="310B3701" w14:textId="112A3C13" w:rsidR="004C7058" w:rsidRPr="004C7058" w:rsidRDefault="004C7058" w:rsidP="004C7058">
            <w:pPr>
              <w:spacing w:line="240" w:lineRule="auto"/>
              <w:jc w:val="right"/>
              <w:rPr>
                <w:rFonts w:eastAsia="Times New Roman" w:cs="Times New Roman"/>
                <w:b/>
                <w:color w:val="000000"/>
                <w:sz w:val="22"/>
                <w:szCs w:val="22"/>
              </w:rPr>
            </w:pPr>
            <w:r w:rsidRPr="004C7058">
              <w:rPr>
                <w:rFonts w:cs="Times New Roman"/>
                <w:b/>
                <w:color w:val="000000"/>
                <w:sz w:val="22"/>
                <w:szCs w:val="22"/>
              </w:rPr>
              <w:t>UTF</w:t>
            </w:r>
          </w:p>
        </w:tc>
        <w:tc>
          <w:tcPr>
            <w:tcW w:w="818" w:type="dxa"/>
            <w:tcBorders>
              <w:top w:val="nil"/>
              <w:left w:val="nil"/>
              <w:bottom w:val="single" w:sz="4" w:space="0" w:color="auto"/>
              <w:right w:val="nil"/>
            </w:tcBorders>
            <w:shd w:val="clear" w:color="auto" w:fill="auto"/>
            <w:noWrap/>
            <w:vAlign w:val="bottom"/>
            <w:hideMark/>
          </w:tcPr>
          <w:p w14:paraId="1649FB35" w14:textId="2C574364" w:rsidR="004C7058" w:rsidRPr="004C7058" w:rsidRDefault="004C7058" w:rsidP="004C7058">
            <w:pPr>
              <w:spacing w:line="240" w:lineRule="auto"/>
              <w:jc w:val="right"/>
              <w:rPr>
                <w:rFonts w:eastAsia="Times New Roman" w:cs="Times New Roman"/>
                <w:b/>
                <w:color w:val="000000"/>
                <w:sz w:val="22"/>
                <w:szCs w:val="22"/>
              </w:rPr>
            </w:pPr>
            <w:r w:rsidRPr="004C7058">
              <w:rPr>
                <w:rFonts w:cs="Times New Roman"/>
                <w:b/>
                <w:color w:val="000000"/>
                <w:sz w:val="22"/>
                <w:szCs w:val="22"/>
              </w:rPr>
              <w:t>WHT</w:t>
            </w:r>
          </w:p>
        </w:tc>
      </w:tr>
      <w:tr w:rsidR="005C5201" w:rsidRPr="002A2783" w14:paraId="071249F3" w14:textId="77777777" w:rsidTr="001671AD">
        <w:trPr>
          <w:trHeight w:val="300"/>
          <w:jc w:val="center"/>
        </w:trPr>
        <w:tc>
          <w:tcPr>
            <w:tcW w:w="929" w:type="dxa"/>
            <w:tcBorders>
              <w:top w:val="single" w:sz="4" w:space="0" w:color="auto"/>
              <w:left w:val="nil"/>
              <w:bottom w:val="nil"/>
              <w:right w:val="single" w:sz="4" w:space="0" w:color="auto"/>
            </w:tcBorders>
            <w:shd w:val="clear" w:color="auto" w:fill="auto"/>
            <w:noWrap/>
            <w:vAlign w:val="bottom"/>
            <w:hideMark/>
          </w:tcPr>
          <w:p w14:paraId="0DBBC39F" w14:textId="507E55D3" w:rsidR="005C5201" w:rsidRPr="004C7058" w:rsidRDefault="005C5201" w:rsidP="005C5201">
            <w:pPr>
              <w:spacing w:line="240" w:lineRule="auto"/>
              <w:jc w:val="right"/>
              <w:rPr>
                <w:rFonts w:eastAsia="Times New Roman" w:cs="Times New Roman"/>
                <w:b/>
                <w:color w:val="000000"/>
                <w:sz w:val="22"/>
                <w:szCs w:val="22"/>
              </w:rPr>
            </w:pPr>
            <w:r w:rsidRPr="004C7058">
              <w:rPr>
                <w:rFonts w:cs="Times New Roman"/>
                <w:b/>
                <w:color w:val="000000"/>
                <w:sz w:val="22"/>
                <w:szCs w:val="22"/>
              </w:rPr>
              <w:t>2005</w:t>
            </w:r>
          </w:p>
        </w:tc>
        <w:tc>
          <w:tcPr>
            <w:tcW w:w="996" w:type="dxa"/>
            <w:tcBorders>
              <w:top w:val="single" w:sz="4" w:space="0" w:color="auto"/>
              <w:left w:val="single" w:sz="4" w:space="0" w:color="auto"/>
              <w:bottom w:val="nil"/>
              <w:right w:val="nil"/>
            </w:tcBorders>
            <w:shd w:val="clear" w:color="auto" w:fill="auto"/>
            <w:noWrap/>
            <w:hideMark/>
          </w:tcPr>
          <w:p w14:paraId="774C5026" w14:textId="46444B60" w:rsidR="005C5201" w:rsidRPr="004C7058" w:rsidRDefault="005C5201" w:rsidP="005C5201">
            <w:pPr>
              <w:spacing w:line="240" w:lineRule="auto"/>
              <w:jc w:val="right"/>
              <w:rPr>
                <w:rFonts w:eastAsia="Times New Roman" w:cs="Times New Roman"/>
                <w:color w:val="000000"/>
                <w:sz w:val="22"/>
                <w:szCs w:val="22"/>
              </w:rPr>
            </w:pPr>
            <w:r w:rsidRPr="006C4F24">
              <w:t>$42,800</w:t>
            </w:r>
          </w:p>
        </w:tc>
        <w:tc>
          <w:tcPr>
            <w:tcW w:w="876" w:type="dxa"/>
            <w:tcBorders>
              <w:top w:val="single" w:sz="4" w:space="0" w:color="auto"/>
              <w:left w:val="nil"/>
              <w:bottom w:val="nil"/>
              <w:right w:val="nil"/>
            </w:tcBorders>
            <w:shd w:val="clear" w:color="auto" w:fill="auto"/>
            <w:noWrap/>
            <w:hideMark/>
          </w:tcPr>
          <w:p w14:paraId="45ABB425" w14:textId="0BA24544" w:rsidR="005C5201" w:rsidRPr="004C7058" w:rsidRDefault="005C5201" w:rsidP="005C5201">
            <w:pPr>
              <w:spacing w:line="240" w:lineRule="auto"/>
              <w:jc w:val="right"/>
              <w:rPr>
                <w:rFonts w:eastAsia="Times New Roman" w:cs="Times New Roman"/>
                <w:color w:val="000000"/>
                <w:sz w:val="22"/>
                <w:szCs w:val="22"/>
              </w:rPr>
            </w:pPr>
            <w:r w:rsidRPr="006C4F24">
              <w:t>$910</w:t>
            </w:r>
          </w:p>
        </w:tc>
        <w:tc>
          <w:tcPr>
            <w:tcW w:w="1116" w:type="dxa"/>
            <w:tcBorders>
              <w:top w:val="single" w:sz="4" w:space="0" w:color="auto"/>
              <w:left w:val="nil"/>
              <w:bottom w:val="nil"/>
              <w:right w:val="nil"/>
            </w:tcBorders>
            <w:shd w:val="clear" w:color="auto" w:fill="auto"/>
            <w:noWrap/>
            <w:hideMark/>
          </w:tcPr>
          <w:p w14:paraId="708C9469" w14:textId="4516BA8B" w:rsidR="005C5201" w:rsidRPr="004C7058" w:rsidRDefault="005C5201" w:rsidP="005C5201">
            <w:pPr>
              <w:spacing w:line="240" w:lineRule="auto"/>
              <w:jc w:val="right"/>
              <w:rPr>
                <w:rFonts w:eastAsia="Times New Roman" w:cs="Times New Roman"/>
                <w:color w:val="000000"/>
                <w:sz w:val="22"/>
                <w:szCs w:val="22"/>
              </w:rPr>
            </w:pPr>
            <w:r w:rsidRPr="006C4F24">
              <w:t>$450,000</w:t>
            </w:r>
          </w:p>
        </w:tc>
        <w:tc>
          <w:tcPr>
            <w:tcW w:w="804" w:type="dxa"/>
            <w:tcBorders>
              <w:top w:val="single" w:sz="4" w:space="0" w:color="auto"/>
              <w:left w:val="nil"/>
              <w:bottom w:val="nil"/>
              <w:right w:val="nil"/>
            </w:tcBorders>
            <w:shd w:val="clear" w:color="auto" w:fill="auto"/>
            <w:noWrap/>
            <w:hideMark/>
          </w:tcPr>
          <w:p w14:paraId="5C2673E8" w14:textId="79298B6E" w:rsidR="005C5201" w:rsidRPr="004C7058" w:rsidRDefault="005C5201" w:rsidP="005C5201">
            <w:pPr>
              <w:spacing w:line="240" w:lineRule="auto"/>
              <w:jc w:val="right"/>
              <w:rPr>
                <w:rFonts w:eastAsia="Times New Roman" w:cs="Times New Roman"/>
                <w:color w:val="000000"/>
                <w:sz w:val="22"/>
                <w:szCs w:val="22"/>
              </w:rPr>
            </w:pPr>
            <w:r w:rsidRPr="00D4779E">
              <w:t>37%</w:t>
            </w:r>
          </w:p>
        </w:tc>
        <w:tc>
          <w:tcPr>
            <w:tcW w:w="777" w:type="dxa"/>
            <w:tcBorders>
              <w:top w:val="single" w:sz="4" w:space="0" w:color="auto"/>
              <w:left w:val="nil"/>
              <w:bottom w:val="nil"/>
              <w:right w:val="nil"/>
            </w:tcBorders>
            <w:shd w:val="clear" w:color="auto" w:fill="auto"/>
            <w:noWrap/>
            <w:vAlign w:val="bottom"/>
            <w:hideMark/>
          </w:tcPr>
          <w:p w14:paraId="4A397D8C" w14:textId="6EA3D2D1" w:rsidR="005C5201" w:rsidRPr="004C7058" w:rsidRDefault="005C5201" w:rsidP="005C5201">
            <w:pPr>
              <w:spacing w:line="240" w:lineRule="auto"/>
              <w:jc w:val="right"/>
              <w:rPr>
                <w:rFonts w:eastAsia="Times New Roman" w:cs="Times New Roman"/>
                <w:color w:val="000000"/>
                <w:sz w:val="22"/>
                <w:szCs w:val="22"/>
              </w:rPr>
            </w:pPr>
            <w:r w:rsidRPr="004C7058">
              <w:rPr>
                <w:rFonts w:cs="Times New Roman"/>
                <w:color w:val="000000"/>
                <w:sz w:val="22"/>
                <w:szCs w:val="22"/>
              </w:rPr>
              <w:t>22%</w:t>
            </w:r>
          </w:p>
        </w:tc>
        <w:tc>
          <w:tcPr>
            <w:tcW w:w="749" w:type="dxa"/>
            <w:tcBorders>
              <w:top w:val="single" w:sz="4" w:space="0" w:color="auto"/>
              <w:left w:val="nil"/>
              <w:bottom w:val="nil"/>
              <w:right w:val="nil"/>
            </w:tcBorders>
            <w:shd w:val="clear" w:color="auto" w:fill="auto"/>
            <w:noWrap/>
            <w:vAlign w:val="bottom"/>
            <w:hideMark/>
          </w:tcPr>
          <w:p w14:paraId="1A923DC7" w14:textId="0B18C5B9" w:rsidR="005C5201" w:rsidRPr="004C7058" w:rsidRDefault="005C5201" w:rsidP="005C5201">
            <w:pPr>
              <w:spacing w:line="240" w:lineRule="auto"/>
              <w:jc w:val="right"/>
              <w:rPr>
                <w:rFonts w:eastAsia="Times New Roman" w:cs="Times New Roman"/>
                <w:color w:val="000000"/>
                <w:sz w:val="22"/>
                <w:szCs w:val="22"/>
              </w:rPr>
            </w:pPr>
            <w:r w:rsidRPr="004C7058">
              <w:rPr>
                <w:rFonts w:cs="Times New Roman"/>
                <w:color w:val="000000"/>
                <w:sz w:val="22"/>
                <w:szCs w:val="22"/>
              </w:rPr>
              <w:t>36%</w:t>
            </w:r>
          </w:p>
        </w:tc>
        <w:tc>
          <w:tcPr>
            <w:tcW w:w="832" w:type="dxa"/>
            <w:tcBorders>
              <w:top w:val="single" w:sz="4" w:space="0" w:color="auto"/>
              <w:left w:val="nil"/>
              <w:bottom w:val="nil"/>
              <w:right w:val="nil"/>
            </w:tcBorders>
            <w:shd w:val="clear" w:color="auto" w:fill="auto"/>
            <w:noWrap/>
            <w:hideMark/>
          </w:tcPr>
          <w:p w14:paraId="7758AD91" w14:textId="6157C329" w:rsidR="005C5201" w:rsidRPr="004C7058" w:rsidRDefault="005C5201" w:rsidP="005C5201">
            <w:pPr>
              <w:spacing w:line="240" w:lineRule="auto"/>
              <w:jc w:val="right"/>
              <w:rPr>
                <w:rFonts w:eastAsia="Times New Roman" w:cs="Times New Roman"/>
                <w:color w:val="000000"/>
                <w:sz w:val="22"/>
                <w:szCs w:val="22"/>
              </w:rPr>
            </w:pPr>
            <w:r w:rsidRPr="008D12FA">
              <w:t>23%</w:t>
            </w:r>
          </w:p>
        </w:tc>
        <w:tc>
          <w:tcPr>
            <w:tcW w:w="818" w:type="dxa"/>
            <w:tcBorders>
              <w:top w:val="single" w:sz="4" w:space="0" w:color="auto"/>
              <w:left w:val="nil"/>
              <w:bottom w:val="nil"/>
              <w:right w:val="nil"/>
            </w:tcBorders>
            <w:shd w:val="clear" w:color="auto" w:fill="auto"/>
            <w:noWrap/>
            <w:vAlign w:val="bottom"/>
            <w:hideMark/>
          </w:tcPr>
          <w:p w14:paraId="20078F4F" w14:textId="3A7A24FB" w:rsidR="005C5201" w:rsidRPr="004C7058" w:rsidRDefault="005C5201" w:rsidP="005C5201">
            <w:pPr>
              <w:spacing w:line="240" w:lineRule="auto"/>
              <w:jc w:val="right"/>
              <w:rPr>
                <w:rFonts w:eastAsia="Times New Roman" w:cs="Times New Roman"/>
                <w:color w:val="000000"/>
                <w:sz w:val="22"/>
                <w:szCs w:val="22"/>
              </w:rPr>
            </w:pPr>
            <w:r w:rsidRPr="004C7058">
              <w:rPr>
                <w:rFonts w:cs="Times New Roman"/>
                <w:color w:val="000000"/>
                <w:sz w:val="22"/>
                <w:szCs w:val="22"/>
              </w:rPr>
              <w:t>35%</w:t>
            </w:r>
          </w:p>
        </w:tc>
      </w:tr>
      <w:tr w:rsidR="005C5201" w:rsidRPr="002A2783" w14:paraId="7030AFD7" w14:textId="77777777" w:rsidTr="001671AD">
        <w:trPr>
          <w:trHeight w:val="300"/>
          <w:jc w:val="center"/>
        </w:trPr>
        <w:tc>
          <w:tcPr>
            <w:tcW w:w="929" w:type="dxa"/>
            <w:tcBorders>
              <w:top w:val="nil"/>
              <w:left w:val="nil"/>
              <w:bottom w:val="nil"/>
              <w:right w:val="single" w:sz="4" w:space="0" w:color="auto"/>
            </w:tcBorders>
            <w:shd w:val="clear" w:color="auto" w:fill="auto"/>
            <w:noWrap/>
            <w:vAlign w:val="bottom"/>
            <w:hideMark/>
          </w:tcPr>
          <w:p w14:paraId="63AB9E68" w14:textId="6ADAEA1E" w:rsidR="005C5201" w:rsidRPr="004C7058" w:rsidRDefault="005C5201" w:rsidP="005C5201">
            <w:pPr>
              <w:spacing w:line="240" w:lineRule="auto"/>
              <w:jc w:val="right"/>
              <w:rPr>
                <w:rFonts w:eastAsia="Times New Roman" w:cs="Times New Roman"/>
                <w:b/>
                <w:color w:val="000000"/>
                <w:sz w:val="22"/>
                <w:szCs w:val="22"/>
              </w:rPr>
            </w:pPr>
            <w:r w:rsidRPr="004C7058">
              <w:rPr>
                <w:rFonts w:cs="Times New Roman"/>
                <w:b/>
                <w:color w:val="000000"/>
                <w:sz w:val="22"/>
                <w:szCs w:val="22"/>
              </w:rPr>
              <w:t>2006</w:t>
            </w:r>
          </w:p>
        </w:tc>
        <w:tc>
          <w:tcPr>
            <w:tcW w:w="996" w:type="dxa"/>
            <w:tcBorders>
              <w:top w:val="nil"/>
              <w:left w:val="single" w:sz="4" w:space="0" w:color="auto"/>
              <w:bottom w:val="nil"/>
              <w:right w:val="nil"/>
            </w:tcBorders>
            <w:shd w:val="clear" w:color="auto" w:fill="auto"/>
            <w:noWrap/>
            <w:hideMark/>
          </w:tcPr>
          <w:p w14:paraId="49E8DF49" w14:textId="4287B296" w:rsidR="005C5201" w:rsidRPr="004C7058" w:rsidRDefault="005C5201" w:rsidP="005C5201">
            <w:pPr>
              <w:spacing w:line="240" w:lineRule="auto"/>
              <w:jc w:val="right"/>
              <w:rPr>
                <w:rFonts w:eastAsia="Times New Roman" w:cs="Times New Roman"/>
                <w:color w:val="000000"/>
                <w:sz w:val="22"/>
                <w:szCs w:val="22"/>
              </w:rPr>
            </w:pPr>
            <w:r w:rsidRPr="006C4F24">
              <w:t>$49,645</w:t>
            </w:r>
          </w:p>
        </w:tc>
        <w:tc>
          <w:tcPr>
            <w:tcW w:w="876" w:type="dxa"/>
            <w:tcBorders>
              <w:top w:val="nil"/>
              <w:left w:val="nil"/>
              <w:bottom w:val="nil"/>
              <w:right w:val="nil"/>
            </w:tcBorders>
            <w:shd w:val="clear" w:color="auto" w:fill="auto"/>
            <w:noWrap/>
            <w:hideMark/>
          </w:tcPr>
          <w:p w14:paraId="05CAD5C1" w14:textId="6EAC50ED" w:rsidR="005C5201" w:rsidRPr="004C7058" w:rsidRDefault="005C5201" w:rsidP="005C5201">
            <w:pPr>
              <w:spacing w:line="240" w:lineRule="auto"/>
              <w:jc w:val="right"/>
              <w:rPr>
                <w:rFonts w:eastAsia="Times New Roman" w:cs="Times New Roman"/>
                <w:color w:val="000000"/>
                <w:sz w:val="22"/>
                <w:szCs w:val="22"/>
              </w:rPr>
            </w:pPr>
            <w:r w:rsidRPr="006C4F24">
              <w:t>$940</w:t>
            </w:r>
          </w:p>
        </w:tc>
        <w:tc>
          <w:tcPr>
            <w:tcW w:w="1116" w:type="dxa"/>
            <w:tcBorders>
              <w:top w:val="nil"/>
              <w:left w:val="nil"/>
              <w:bottom w:val="nil"/>
              <w:right w:val="nil"/>
            </w:tcBorders>
            <w:shd w:val="clear" w:color="auto" w:fill="auto"/>
            <w:noWrap/>
            <w:hideMark/>
          </w:tcPr>
          <w:p w14:paraId="5E1F09DC" w14:textId="7B9420C0" w:rsidR="005C5201" w:rsidRPr="004C7058" w:rsidRDefault="005C5201" w:rsidP="005C5201">
            <w:pPr>
              <w:spacing w:line="240" w:lineRule="auto"/>
              <w:jc w:val="right"/>
              <w:rPr>
                <w:rFonts w:eastAsia="Times New Roman" w:cs="Times New Roman"/>
                <w:color w:val="000000"/>
                <w:sz w:val="22"/>
                <w:szCs w:val="22"/>
              </w:rPr>
            </w:pPr>
            <w:r w:rsidRPr="006C4F24">
              <w:t>$625,000</w:t>
            </w:r>
          </w:p>
        </w:tc>
        <w:tc>
          <w:tcPr>
            <w:tcW w:w="804" w:type="dxa"/>
            <w:tcBorders>
              <w:top w:val="nil"/>
              <w:left w:val="nil"/>
              <w:bottom w:val="nil"/>
              <w:right w:val="nil"/>
            </w:tcBorders>
            <w:shd w:val="clear" w:color="auto" w:fill="auto"/>
            <w:noWrap/>
            <w:hideMark/>
          </w:tcPr>
          <w:p w14:paraId="67CA351B" w14:textId="52F9F913" w:rsidR="005C5201" w:rsidRPr="004C7058" w:rsidRDefault="005C5201" w:rsidP="005C5201">
            <w:pPr>
              <w:spacing w:line="240" w:lineRule="auto"/>
              <w:jc w:val="right"/>
              <w:rPr>
                <w:rFonts w:eastAsia="Times New Roman" w:cs="Times New Roman"/>
                <w:color w:val="000000"/>
                <w:sz w:val="22"/>
                <w:szCs w:val="22"/>
              </w:rPr>
            </w:pPr>
            <w:r w:rsidRPr="00D4779E">
              <w:t>35%</w:t>
            </w:r>
          </w:p>
        </w:tc>
        <w:tc>
          <w:tcPr>
            <w:tcW w:w="777" w:type="dxa"/>
            <w:tcBorders>
              <w:top w:val="nil"/>
              <w:left w:val="nil"/>
              <w:bottom w:val="nil"/>
              <w:right w:val="nil"/>
            </w:tcBorders>
            <w:shd w:val="clear" w:color="auto" w:fill="auto"/>
            <w:noWrap/>
            <w:vAlign w:val="bottom"/>
            <w:hideMark/>
          </w:tcPr>
          <w:p w14:paraId="53643422" w14:textId="2FFDDD50" w:rsidR="005C5201" w:rsidRPr="004C7058" w:rsidRDefault="005C5201" w:rsidP="005C5201">
            <w:pPr>
              <w:spacing w:line="240" w:lineRule="auto"/>
              <w:jc w:val="right"/>
              <w:rPr>
                <w:rFonts w:eastAsia="Times New Roman" w:cs="Times New Roman"/>
                <w:color w:val="000000"/>
                <w:sz w:val="22"/>
                <w:szCs w:val="22"/>
              </w:rPr>
            </w:pPr>
            <w:r w:rsidRPr="004C7058">
              <w:rPr>
                <w:rFonts w:cs="Times New Roman"/>
                <w:color w:val="000000"/>
                <w:sz w:val="22"/>
                <w:szCs w:val="22"/>
              </w:rPr>
              <w:t>21%</w:t>
            </w:r>
          </w:p>
        </w:tc>
        <w:tc>
          <w:tcPr>
            <w:tcW w:w="749" w:type="dxa"/>
            <w:tcBorders>
              <w:top w:val="nil"/>
              <w:left w:val="nil"/>
              <w:bottom w:val="nil"/>
              <w:right w:val="nil"/>
            </w:tcBorders>
            <w:shd w:val="clear" w:color="auto" w:fill="auto"/>
            <w:noWrap/>
            <w:vAlign w:val="bottom"/>
            <w:hideMark/>
          </w:tcPr>
          <w:p w14:paraId="4630E8B3" w14:textId="20D0AE74" w:rsidR="005C5201" w:rsidRPr="004C7058" w:rsidRDefault="005C5201" w:rsidP="005C5201">
            <w:pPr>
              <w:spacing w:line="240" w:lineRule="auto"/>
              <w:jc w:val="right"/>
              <w:rPr>
                <w:rFonts w:eastAsia="Times New Roman" w:cs="Times New Roman"/>
                <w:color w:val="000000"/>
                <w:sz w:val="22"/>
                <w:szCs w:val="22"/>
              </w:rPr>
            </w:pPr>
            <w:r w:rsidRPr="004C7058">
              <w:rPr>
                <w:rFonts w:cs="Times New Roman"/>
                <w:color w:val="000000"/>
                <w:sz w:val="22"/>
                <w:szCs w:val="22"/>
              </w:rPr>
              <w:t>36%</w:t>
            </w:r>
          </w:p>
        </w:tc>
        <w:tc>
          <w:tcPr>
            <w:tcW w:w="832" w:type="dxa"/>
            <w:tcBorders>
              <w:top w:val="nil"/>
              <w:left w:val="nil"/>
              <w:bottom w:val="nil"/>
              <w:right w:val="nil"/>
            </w:tcBorders>
            <w:shd w:val="clear" w:color="auto" w:fill="auto"/>
            <w:noWrap/>
            <w:hideMark/>
          </w:tcPr>
          <w:p w14:paraId="5D5BE787" w14:textId="7D8D6652" w:rsidR="005C5201" w:rsidRPr="004C7058" w:rsidRDefault="005C5201" w:rsidP="005C5201">
            <w:pPr>
              <w:spacing w:line="240" w:lineRule="auto"/>
              <w:jc w:val="right"/>
              <w:rPr>
                <w:rFonts w:eastAsia="Times New Roman" w:cs="Times New Roman"/>
                <w:color w:val="000000"/>
                <w:sz w:val="22"/>
                <w:szCs w:val="22"/>
              </w:rPr>
            </w:pPr>
            <w:r w:rsidRPr="008D12FA">
              <w:t>23%</w:t>
            </w:r>
          </w:p>
        </w:tc>
        <w:tc>
          <w:tcPr>
            <w:tcW w:w="818" w:type="dxa"/>
            <w:tcBorders>
              <w:top w:val="nil"/>
              <w:left w:val="nil"/>
              <w:bottom w:val="nil"/>
              <w:right w:val="nil"/>
            </w:tcBorders>
            <w:shd w:val="clear" w:color="auto" w:fill="auto"/>
            <w:noWrap/>
            <w:vAlign w:val="bottom"/>
            <w:hideMark/>
          </w:tcPr>
          <w:p w14:paraId="29CE1158" w14:textId="3A518A5E" w:rsidR="005C5201" w:rsidRPr="004C7058" w:rsidRDefault="005C5201" w:rsidP="005C5201">
            <w:pPr>
              <w:spacing w:line="240" w:lineRule="auto"/>
              <w:jc w:val="right"/>
              <w:rPr>
                <w:rFonts w:eastAsia="Times New Roman" w:cs="Times New Roman"/>
                <w:color w:val="000000"/>
                <w:sz w:val="22"/>
                <w:szCs w:val="22"/>
              </w:rPr>
            </w:pPr>
            <w:r w:rsidRPr="004C7058">
              <w:rPr>
                <w:rFonts w:cs="Times New Roman"/>
                <w:color w:val="000000"/>
                <w:sz w:val="22"/>
                <w:szCs w:val="22"/>
              </w:rPr>
              <w:t>35%</w:t>
            </w:r>
          </w:p>
        </w:tc>
      </w:tr>
      <w:tr w:rsidR="005C5201" w:rsidRPr="002A2783" w14:paraId="3AEB8955" w14:textId="77777777" w:rsidTr="001671AD">
        <w:trPr>
          <w:trHeight w:val="300"/>
          <w:jc w:val="center"/>
        </w:trPr>
        <w:tc>
          <w:tcPr>
            <w:tcW w:w="929" w:type="dxa"/>
            <w:tcBorders>
              <w:top w:val="nil"/>
              <w:left w:val="nil"/>
              <w:bottom w:val="nil"/>
              <w:right w:val="single" w:sz="4" w:space="0" w:color="auto"/>
            </w:tcBorders>
            <w:shd w:val="clear" w:color="auto" w:fill="auto"/>
            <w:noWrap/>
            <w:vAlign w:val="bottom"/>
            <w:hideMark/>
          </w:tcPr>
          <w:p w14:paraId="16D6CA43" w14:textId="67193026" w:rsidR="005C5201" w:rsidRPr="004C7058" w:rsidRDefault="005C5201" w:rsidP="005C5201">
            <w:pPr>
              <w:spacing w:line="240" w:lineRule="auto"/>
              <w:jc w:val="right"/>
              <w:rPr>
                <w:rFonts w:eastAsia="Times New Roman" w:cs="Times New Roman"/>
                <w:b/>
                <w:color w:val="000000"/>
                <w:sz w:val="22"/>
                <w:szCs w:val="22"/>
              </w:rPr>
            </w:pPr>
            <w:r w:rsidRPr="004C7058">
              <w:rPr>
                <w:rFonts w:cs="Times New Roman"/>
                <w:b/>
                <w:color w:val="000000"/>
                <w:sz w:val="22"/>
                <w:szCs w:val="22"/>
              </w:rPr>
              <w:t>2007</w:t>
            </w:r>
          </w:p>
        </w:tc>
        <w:tc>
          <w:tcPr>
            <w:tcW w:w="996" w:type="dxa"/>
            <w:tcBorders>
              <w:top w:val="nil"/>
              <w:left w:val="single" w:sz="4" w:space="0" w:color="auto"/>
              <w:bottom w:val="nil"/>
              <w:right w:val="nil"/>
            </w:tcBorders>
            <w:shd w:val="clear" w:color="auto" w:fill="auto"/>
            <w:noWrap/>
            <w:hideMark/>
          </w:tcPr>
          <w:p w14:paraId="491A2942" w14:textId="6FB43185" w:rsidR="005C5201" w:rsidRPr="004C7058" w:rsidRDefault="005C5201" w:rsidP="005C5201">
            <w:pPr>
              <w:spacing w:line="240" w:lineRule="auto"/>
              <w:jc w:val="right"/>
              <w:rPr>
                <w:rFonts w:eastAsia="Times New Roman" w:cs="Times New Roman"/>
                <w:color w:val="000000"/>
                <w:sz w:val="22"/>
                <w:szCs w:val="22"/>
              </w:rPr>
            </w:pPr>
            <w:r w:rsidRPr="006C4F24">
              <w:t>$51,000</w:t>
            </w:r>
          </w:p>
        </w:tc>
        <w:tc>
          <w:tcPr>
            <w:tcW w:w="876" w:type="dxa"/>
            <w:tcBorders>
              <w:top w:val="nil"/>
              <w:left w:val="nil"/>
              <w:bottom w:val="nil"/>
              <w:right w:val="nil"/>
            </w:tcBorders>
            <w:shd w:val="clear" w:color="auto" w:fill="auto"/>
            <w:noWrap/>
            <w:hideMark/>
          </w:tcPr>
          <w:p w14:paraId="0BAD964E" w14:textId="23974023" w:rsidR="005C5201" w:rsidRPr="004C7058" w:rsidRDefault="005C5201" w:rsidP="005C5201">
            <w:pPr>
              <w:spacing w:line="240" w:lineRule="auto"/>
              <w:jc w:val="right"/>
              <w:rPr>
                <w:rFonts w:eastAsia="Times New Roman" w:cs="Times New Roman"/>
                <w:color w:val="000000"/>
                <w:sz w:val="22"/>
                <w:szCs w:val="22"/>
              </w:rPr>
            </w:pPr>
            <w:r w:rsidRPr="006C4F24">
              <w:t>$990</w:t>
            </w:r>
          </w:p>
        </w:tc>
        <w:tc>
          <w:tcPr>
            <w:tcW w:w="1116" w:type="dxa"/>
            <w:tcBorders>
              <w:top w:val="nil"/>
              <w:left w:val="nil"/>
              <w:bottom w:val="nil"/>
              <w:right w:val="nil"/>
            </w:tcBorders>
            <w:shd w:val="clear" w:color="auto" w:fill="auto"/>
            <w:noWrap/>
            <w:hideMark/>
          </w:tcPr>
          <w:p w14:paraId="515D9C3B" w14:textId="788BBC31" w:rsidR="005C5201" w:rsidRPr="004C7058" w:rsidRDefault="005C5201" w:rsidP="005C5201">
            <w:pPr>
              <w:spacing w:line="240" w:lineRule="auto"/>
              <w:jc w:val="right"/>
              <w:rPr>
                <w:rFonts w:eastAsia="Times New Roman" w:cs="Times New Roman"/>
                <w:color w:val="000000"/>
                <w:sz w:val="22"/>
                <w:szCs w:val="22"/>
              </w:rPr>
            </w:pPr>
            <w:r w:rsidRPr="006C4F24">
              <w:t>$625,000</w:t>
            </w:r>
          </w:p>
        </w:tc>
        <w:tc>
          <w:tcPr>
            <w:tcW w:w="804" w:type="dxa"/>
            <w:tcBorders>
              <w:top w:val="nil"/>
              <w:left w:val="nil"/>
              <w:bottom w:val="nil"/>
              <w:right w:val="nil"/>
            </w:tcBorders>
            <w:shd w:val="clear" w:color="auto" w:fill="auto"/>
            <w:noWrap/>
            <w:hideMark/>
          </w:tcPr>
          <w:p w14:paraId="0F3F5FD3" w14:textId="06B5C163" w:rsidR="005C5201" w:rsidRPr="004C7058" w:rsidRDefault="005C5201" w:rsidP="005C5201">
            <w:pPr>
              <w:spacing w:line="240" w:lineRule="auto"/>
              <w:jc w:val="right"/>
              <w:rPr>
                <w:rFonts w:eastAsia="Times New Roman" w:cs="Times New Roman"/>
                <w:color w:val="000000"/>
                <w:sz w:val="22"/>
                <w:szCs w:val="22"/>
              </w:rPr>
            </w:pPr>
            <w:r w:rsidRPr="00D4779E">
              <w:t>35%</w:t>
            </w:r>
          </w:p>
        </w:tc>
        <w:tc>
          <w:tcPr>
            <w:tcW w:w="777" w:type="dxa"/>
            <w:tcBorders>
              <w:top w:val="nil"/>
              <w:left w:val="nil"/>
              <w:bottom w:val="nil"/>
              <w:right w:val="nil"/>
            </w:tcBorders>
            <w:shd w:val="clear" w:color="auto" w:fill="auto"/>
            <w:noWrap/>
            <w:vAlign w:val="bottom"/>
            <w:hideMark/>
          </w:tcPr>
          <w:p w14:paraId="0D4BD3B5" w14:textId="5B2DF806" w:rsidR="005C5201" w:rsidRPr="004C7058" w:rsidRDefault="005C5201" w:rsidP="005C5201">
            <w:pPr>
              <w:spacing w:line="240" w:lineRule="auto"/>
              <w:jc w:val="right"/>
              <w:rPr>
                <w:rFonts w:eastAsia="Times New Roman" w:cs="Times New Roman"/>
                <w:color w:val="000000"/>
                <w:sz w:val="22"/>
                <w:szCs w:val="22"/>
              </w:rPr>
            </w:pPr>
            <w:r w:rsidRPr="004C7058">
              <w:rPr>
                <w:rFonts w:cs="Times New Roman"/>
                <w:color w:val="000000"/>
                <w:sz w:val="22"/>
                <w:szCs w:val="22"/>
              </w:rPr>
              <w:t>21%</w:t>
            </w:r>
          </w:p>
        </w:tc>
        <w:tc>
          <w:tcPr>
            <w:tcW w:w="749" w:type="dxa"/>
            <w:tcBorders>
              <w:top w:val="nil"/>
              <w:left w:val="nil"/>
              <w:bottom w:val="nil"/>
              <w:right w:val="nil"/>
            </w:tcBorders>
            <w:shd w:val="clear" w:color="auto" w:fill="auto"/>
            <w:noWrap/>
            <w:vAlign w:val="bottom"/>
            <w:hideMark/>
          </w:tcPr>
          <w:p w14:paraId="3105871E" w14:textId="0A37786C" w:rsidR="005C5201" w:rsidRPr="004C7058" w:rsidRDefault="005C5201" w:rsidP="005C5201">
            <w:pPr>
              <w:spacing w:line="240" w:lineRule="auto"/>
              <w:jc w:val="right"/>
              <w:rPr>
                <w:rFonts w:eastAsia="Times New Roman" w:cs="Times New Roman"/>
                <w:color w:val="000000"/>
                <w:sz w:val="22"/>
                <w:szCs w:val="22"/>
              </w:rPr>
            </w:pPr>
            <w:r w:rsidRPr="004C7058">
              <w:rPr>
                <w:rFonts w:cs="Times New Roman"/>
                <w:color w:val="000000"/>
                <w:sz w:val="22"/>
                <w:szCs w:val="22"/>
              </w:rPr>
              <w:t>37%</w:t>
            </w:r>
          </w:p>
        </w:tc>
        <w:tc>
          <w:tcPr>
            <w:tcW w:w="832" w:type="dxa"/>
            <w:tcBorders>
              <w:top w:val="nil"/>
              <w:left w:val="nil"/>
              <w:bottom w:val="nil"/>
              <w:right w:val="nil"/>
            </w:tcBorders>
            <w:shd w:val="clear" w:color="auto" w:fill="auto"/>
            <w:noWrap/>
            <w:hideMark/>
          </w:tcPr>
          <w:p w14:paraId="3C1D64DD" w14:textId="462F8129" w:rsidR="005C5201" w:rsidRPr="004C7058" w:rsidRDefault="005C5201" w:rsidP="005C5201">
            <w:pPr>
              <w:spacing w:line="240" w:lineRule="auto"/>
              <w:jc w:val="right"/>
              <w:rPr>
                <w:rFonts w:eastAsia="Times New Roman" w:cs="Times New Roman"/>
                <w:color w:val="000000"/>
                <w:sz w:val="22"/>
                <w:szCs w:val="22"/>
              </w:rPr>
            </w:pPr>
            <w:r w:rsidRPr="008D12FA">
              <w:t>23%</w:t>
            </w:r>
          </w:p>
        </w:tc>
        <w:tc>
          <w:tcPr>
            <w:tcW w:w="818" w:type="dxa"/>
            <w:tcBorders>
              <w:top w:val="nil"/>
              <w:left w:val="nil"/>
              <w:bottom w:val="nil"/>
              <w:right w:val="nil"/>
            </w:tcBorders>
            <w:shd w:val="clear" w:color="auto" w:fill="auto"/>
            <w:noWrap/>
            <w:vAlign w:val="bottom"/>
            <w:hideMark/>
          </w:tcPr>
          <w:p w14:paraId="4EB33964" w14:textId="38381D49" w:rsidR="005C5201" w:rsidRPr="004C7058" w:rsidRDefault="005C5201" w:rsidP="005C5201">
            <w:pPr>
              <w:spacing w:line="240" w:lineRule="auto"/>
              <w:jc w:val="right"/>
              <w:rPr>
                <w:rFonts w:eastAsia="Times New Roman" w:cs="Times New Roman"/>
                <w:color w:val="000000"/>
                <w:sz w:val="22"/>
                <w:szCs w:val="22"/>
              </w:rPr>
            </w:pPr>
            <w:r w:rsidRPr="004C7058">
              <w:rPr>
                <w:rFonts w:cs="Times New Roman"/>
                <w:color w:val="000000"/>
                <w:sz w:val="22"/>
                <w:szCs w:val="22"/>
              </w:rPr>
              <w:t>35%</w:t>
            </w:r>
          </w:p>
        </w:tc>
      </w:tr>
      <w:tr w:rsidR="005C5201" w:rsidRPr="002A2783" w14:paraId="4D94EBCB" w14:textId="77777777" w:rsidTr="001671AD">
        <w:trPr>
          <w:trHeight w:val="300"/>
          <w:jc w:val="center"/>
        </w:trPr>
        <w:tc>
          <w:tcPr>
            <w:tcW w:w="929" w:type="dxa"/>
            <w:tcBorders>
              <w:top w:val="nil"/>
              <w:left w:val="nil"/>
              <w:bottom w:val="nil"/>
              <w:right w:val="single" w:sz="4" w:space="0" w:color="auto"/>
            </w:tcBorders>
            <w:shd w:val="clear" w:color="auto" w:fill="auto"/>
            <w:noWrap/>
            <w:vAlign w:val="bottom"/>
            <w:hideMark/>
          </w:tcPr>
          <w:p w14:paraId="79006588" w14:textId="2D109AAB" w:rsidR="005C5201" w:rsidRPr="004C7058" w:rsidRDefault="005C5201" w:rsidP="005C5201">
            <w:pPr>
              <w:spacing w:line="240" w:lineRule="auto"/>
              <w:jc w:val="right"/>
              <w:rPr>
                <w:rFonts w:eastAsia="Times New Roman" w:cs="Times New Roman"/>
                <w:b/>
                <w:color w:val="000000"/>
                <w:sz w:val="22"/>
                <w:szCs w:val="22"/>
              </w:rPr>
            </w:pPr>
            <w:r w:rsidRPr="004C7058">
              <w:rPr>
                <w:rFonts w:cs="Times New Roman"/>
                <w:b/>
                <w:color w:val="000000"/>
                <w:sz w:val="22"/>
                <w:szCs w:val="22"/>
              </w:rPr>
              <w:t>2008</w:t>
            </w:r>
          </w:p>
        </w:tc>
        <w:tc>
          <w:tcPr>
            <w:tcW w:w="996" w:type="dxa"/>
            <w:tcBorders>
              <w:top w:val="nil"/>
              <w:left w:val="single" w:sz="4" w:space="0" w:color="auto"/>
              <w:bottom w:val="nil"/>
              <w:right w:val="nil"/>
            </w:tcBorders>
            <w:shd w:val="clear" w:color="auto" w:fill="auto"/>
            <w:noWrap/>
            <w:hideMark/>
          </w:tcPr>
          <w:p w14:paraId="1F440294" w14:textId="0809A2E0" w:rsidR="005C5201" w:rsidRPr="004C7058" w:rsidRDefault="005C5201" w:rsidP="005C5201">
            <w:pPr>
              <w:spacing w:line="240" w:lineRule="auto"/>
              <w:jc w:val="right"/>
              <w:rPr>
                <w:rFonts w:eastAsia="Times New Roman" w:cs="Times New Roman"/>
                <w:color w:val="000000"/>
                <w:sz w:val="22"/>
                <w:szCs w:val="22"/>
              </w:rPr>
            </w:pPr>
            <w:r w:rsidRPr="006C4F24">
              <w:t>$54,000</w:t>
            </w:r>
          </w:p>
        </w:tc>
        <w:tc>
          <w:tcPr>
            <w:tcW w:w="876" w:type="dxa"/>
            <w:tcBorders>
              <w:top w:val="nil"/>
              <w:left w:val="nil"/>
              <w:bottom w:val="nil"/>
              <w:right w:val="nil"/>
            </w:tcBorders>
            <w:shd w:val="clear" w:color="auto" w:fill="auto"/>
            <w:noWrap/>
            <w:hideMark/>
          </w:tcPr>
          <w:p w14:paraId="0F239819" w14:textId="23AE7DD3" w:rsidR="005C5201" w:rsidRPr="004C7058" w:rsidRDefault="005C5201" w:rsidP="005C5201">
            <w:pPr>
              <w:spacing w:line="240" w:lineRule="auto"/>
              <w:jc w:val="right"/>
              <w:rPr>
                <w:rFonts w:eastAsia="Times New Roman" w:cs="Times New Roman"/>
                <w:color w:val="000000"/>
                <w:sz w:val="22"/>
                <w:szCs w:val="22"/>
              </w:rPr>
            </w:pPr>
            <w:r w:rsidRPr="006C4F24">
              <w:t>$1,030</w:t>
            </w:r>
          </w:p>
        </w:tc>
        <w:tc>
          <w:tcPr>
            <w:tcW w:w="1116" w:type="dxa"/>
            <w:tcBorders>
              <w:top w:val="nil"/>
              <w:left w:val="nil"/>
              <w:bottom w:val="nil"/>
              <w:right w:val="nil"/>
            </w:tcBorders>
            <w:shd w:val="clear" w:color="auto" w:fill="auto"/>
            <w:noWrap/>
            <w:hideMark/>
          </w:tcPr>
          <w:p w14:paraId="741AD725" w14:textId="2C3B3DA3" w:rsidR="005C5201" w:rsidRPr="004C7058" w:rsidRDefault="005C5201" w:rsidP="005C5201">
            <w:pPr>
              <w:spacing w:line="240" w:lineRule="auto"/>
              <w:jc w:val="right"/>
              <w:rPr>
                <w:rFonts w:eastAsia="Times New Roman" w:cs="Times New Roman"/>
                <w:color w:val="000000"/>
                <w:sz w:val="22"/>
                <w:szCs w:val="22"/>
              </w:rPr>
            </w:pPr>
            <w:r w:rsidRPr="006C4F24">
              <w:t>$600,000</w:t>
            </w:r>
          </w:p>
        </w:tc>
        <w:tc>
          <w:tcPr>
            <w:tcW w:w="804" w:type="dxa"/>
            <w:tcBorders>
              <w:top w:val="nil"/>
              <w:left w:val="nil"/>
              <w:bottom w:val="nil"/>
              <w:right w:val="nil"/>
            </w:tcBorders>
            <w:shd w:val="clear" w:color="auto" w:fill="auto"/>
            <w:noWrap/>
            <w:hideMark/>
          </w:tcPr>
          <w:p w14:paraId="44BC8B4C" w14:textId="7F9B55F2" w:rsidR="005C5201" w:rsidRPr="004C7058" w:rsidRDefault="005C5201" w:rsidP="005C5201">
            <w:pPr>
              <w:spacing w:line="240" w:lineRule="auto"/>
              <w:jc w:val="right"/>
              <w:rPr>
                <w:rFonts w:eastAsia="Times New Roman" w:cs="Times New Roman"/>
                <w:color w:val="000000"/>
                <w:sz w:val="22"/>
                <w:szCs w:val="22"/>
              </w:rPr>
            </w:pPr>
            <w:r w:rsidRPr="00D4779E">
              <w:t>36%</w:t>
            </w:r>
          </w:p>
        </w:tc>
        <w:tc>
          <w:tcPr>
            <w:tcW w:w="777" w:type="dxa"/>
            <w:tcBorders>
              <w:top w:val="nil"/>
              <w:left w:val="nil"/>
              <w:bottom w:val="nil"/>
              <w:right w:val="nil"/>
            </w:tcBorders>
            <w:shd w:val="clear" w:color="auto" w:fill="auto"/>
            <w:noWrap/>
            <w:vAlign w:val="bottom"/>
            <w:hideMark/>
          </w:tcPr>
          <w:p w14:paraId="1038A8F8" w14:textId="35E91091" w:rsidR="005C5201" w:rsidRPr="004C7058" w:rsidRDefault="005C5201" w:rsidP="005C5201">
            <w:pPr>
              <w:spacing w:line="240" w:lineRule="auto"/>
              <w:jc w:val="right"/>
              <w:rPr>
                <w:rFonts w:eastAsia="Times New Roman" w:cs="Times New Roman"/>
                <w:color w:val="000000"/>
                <w:sz w:val="22"/>
                <w:szCs w:val="22"/>
              </w:rPr>
            </w:pPr>
            <w:r w:rsidRPr="004C7058">
              <w:rPr>
                <w:rFonts w:cs="Times New Roman"/>
                <w:color w:val="000000"/>
                <w:sz w:val="22"/>
                <w:szCs w:val="22"/>
              </w:rPr>
              <w:t>22%</w:t>
            </w:r>
          </w:p>
        </w:tc>
        <w:tc>
          <w:tcPr>
            <w:tcW w:w="749" w:type="dxa"/>
            <w:tcBorders>
              <w:top w:val="nil"/>
              <w:left w:val="nil"/>
              <w:bottom w:val="nil"/>
              <w:right w:val="nil"/>
            </w:tcBorders>
            <w:shd w:val="clear" w:color="auto" w:fill="auto"/>
            <w:noWrap/>
            <w:vAlign w:val="bottom"/>
            <w:hideMark/>
          </w:tcPr>
          <w:p w14:paraId="68B6FB12" w14:textId="6CACB6AD" w:rsidR="005C5201" w:rsidRPr="004C7058" w:rsidRDefault="005C5201" w:rsidP="005C5201">
            <w:pPr>
              <w:spacing w:line="240" w:lineRule="auto"/>
              <w:jc w:val="right"/>
              <w:rPr>
                <w:rFonts w:eastAsia="Times New Roman" w:cs="Times New Roman"/>
                <w:color w:val="000000"/>
                <w:sz w:val="22"/>
                <w:szCs w:val="22"/>
              </w:rPr>
            </w:pPr>
            <w:r w:rsidRPr="004C7058">
              <w:rPr>
                <w:rFonts w:cs="Times New Roman"/>
                <w:color w:val="000000"/>
                <w:sz w:val="22"/>
                <w:szCs w:val="22"/>
              </w:rPr>
              <w:t>38%</w:t>
            </w:r>
          </w:p>
        </w:tc>
        <w:tc>
          <w:tcPr>
            <w:tcW w:w="832" w:type="dxa"/>
            <w:tcBorders>
              <w:top w:val="nil"/>
              <w:left w:val="nil"/>
              <w:bottom w:val="nil"/>
              <w:right w:val="nil"/>
            </w:tcBorders>
            <w:shd w:val="clear" w:color="auto" w:fill="auto"/>
            <w:noWrap/>
            <w:hideMark/>
          </w:tcPr>
          <w:p w14:paraId="4ECADE98" w14:textId="2D0AC6F7" w:rsidR="005C5201" w:rsidRPr="004C7058" w:rsidRDefault="005C5201" w:rsidP="005C5201">
            <w:pPr>
              <w:spacing w:line="240" w:lineRule="auto"/>
              <w:jc w:val="right"/>
              <w:rPr>
                <w:rFonts w:eastAsia="Times New Roman" w:cs="Times New Roman"/>
                <w:color w:val="000000"/>
                <w:sz w:val="22"/>
                <w:szCs w:val="22"/>
              </w:rPr>
            </w:pPr>
            <w:r w:rsidRPr="008D12FA">
              <w:t>23%</w:t>
            </w:r>
          </w:p>
        </w:tc>
        <w:tc>
          <w:tcPr>
            <w:tcW w:w="818" w:type="dxa"/>
            <w:tcBorders>
              <w:top w:val="nil"/>
              <w:left w:val="nil"/>
              <w:bottom w:val="nil"/>
              <w:right w:val="nil"/>
            </w:tcBorders>
            <w:shd w:val="clear" w:color="auto" w:fill="auto"/>
            <w:noWrap/>
            <w:vAlign w:val="bottom"/>
            <w:hideMark/>
          </w:tcPr>
          <w:p w14:paraId="57CA4D20" w14:textId="6A3B11A5" w:rsidR="005C5201" w:rsidRPr="004C7058" w:rsidRDefault="005C5201" w:rsidP="005C5201">
            <w:pPr>
              <w:spacing w:line="240" w:lineRule="auto"/>
              <w:jc w:val="right"/>
              <w:rPr>
                <w:rFonts w:eastAsia="Times New Roman" w:cs="Times New Roman"/>
                <w:color w:val="000000"/>
                <w:sz w:val="22"/>
                <w:szCs w:val="22"/>
              </w:rPr>
            </w:pPr>
            <w:r w:rsidRPr="004C7058">
              <w:rPr>
                <w:rFonts w:cs="Times New Roman"/>
                <w:color w:val="000000"/>
                <w:sz w:val="22"/>
                <w:szCs w:val="22"/>
              </w:rPr>
              <w:t>35%</w:t>
            </w:r>
          </w:p>
        </w:tc>
      </w:tr>
      <w:tr w:rsidR="005C5201" w:rsidRPr="002A2783" w14:paraId="76AA486B" w14:textId="77777777" w:rsidTr="001671AD">
        <w:trPr>
          <w:trHeight w:val="300"/>
          <w:jc w:val="center"/>
        </w:trPr>
        <w:tc>
          <w:tcPr>
            <w:tcW w:w="929" w:type="dxa"/>
            <w:tcBorders>
              <w:top w:val="nil"/>
              <w:left w:val="nil"/>
              <w:bottom w:val="nil"/>
              <w:right w:val="single" w:sz="4" w:space="0" w:color="auto"/>
            </w:tcBorders>
            <w:shd w:val="clear" w:color="auto" w:fill="auto"/>
            <w:noWrap/>
            <w:vAlign w:val="bottom"/>
            <w:hideMark/>
          </w:tcPr>
          <w:p w14:paraId="6526B751" w14:textId="4305B6FC" w:rsidR="005C5201" w:rsidRPr="004C7058" w:rsidRDefault="005C5201" w:rsidP="005C5201">
            <w:pPr>
              <w:spacing w:line="240" w:lineRule="auto"/>
              <w:jc w:val="right"/>
              <w:rPr>
                <w:rFonts w:eastAsia="Times New Roman" w:cs="Times New Roman"/>
                <w:b/>
                <w:color w:val="000000"/>
                <w:sz w:val="22"/>
                <w:szCs w:val="22"/>
              </w:rPr>
            </w:pPr>
            <w:r w:rsidRPr="004C7058">
              <w:rPr>
                <w:rFonts w:cs="Times New Roman"/>
                <w:b/>
                <w:color w:val="000000"/>
                <w:sz w:val="22"/>
                <w:szCs w:val="22"/>
              </w:rPr>
              <w:t>2009</w:t>
            </w:r>
          </w:p>
        </w:tc>
        <w:tc>
          <w:tcPr>
            <w:tcW w:w="996" w:type="dxa"/>
            <w:tcBorders>
              <w:top w:val="nil"/>
              <w:left w:val="single" w:sz="4" w:space="0" w:color="auto"/>
              <w:bottom w:val="nil"/>
              <w:right w:val="nil"/>
            </w:tcBorders>
            <w:shd w:val="clear" w:color="auto" w:fill="auto"/>
            <w:noWrap/>
            <w:hideMark/>
          </w:tcPr>
          <w:p w14:paraId="19537FD6" w14:textId="795F1E60" w:rsidR="005C5201" w:rsidRPr="004C7058" w:rsidRDefault="005C5201" w:rsidP="005C5201">
            <w:pPr>
              <w:spacing w:line="240" w:lineRule="auto"/>
              <w:jc w:val="right"/>
              <w:rPr>
                <w:rFonts w:eastAsia="Times New Roman" w:cs="Times New Roman"/>
                <w:color w:val="000000"/>
                <w:sz w:val="22"/>
                <w:szCs w:val="22"/>
              </w:rPr>
            </w:pPr>
            <w:r w:rsidRPr="006C4F24">
              <w:t>$54,400</w:t>
            </w:r>
          </w:p>
        </w:tc>
        <w:tc>
          <w:tcPr>
            <w:tcW w:w="876" w:type="dxa"/>
            <w:tcBorders>
              <w:top w:val="nil"/>
              <w:left w:val="nil"/>
              <w:bottom w:val="nil"/>
              <w:right w:val="nil"/>
            </w:tcBorders>
            <w:shd w:val="clear" w:color="auto" w:fill="auto"/>
            <w:noWrap/>
            <w:hideMark/>
          </w:tcPr>
          <w:p w14:paraId="335BED50" w14:textId="6B895603" w:rsidR="005C5201" w:rsidRPr="004C7058" w:rsidRDefault="005C5201" w:rsidP="005C5201">
            <w:pPr>
              <w:spacing w:line="240" w:lineRule="auto"/>
              <w:jc w:val="right"/>
              <w:rPr>
                <w:rFonts w:eastAsia="Times New Roman" w:cs="Times New Roman"/>
                <w:color w:val="000000"/>
                <w:sz w:val="22"/>
                <w:szCs w:val="22"/>
              </w:rPr>
            </w:pPr>
            <w:r w:rsidRPr="006C4F24">
              <w:t>$1,080</w:t>
            </w:r>
          </w:p>
        </w:tc>
        <w:tc>
          <w:tcPr>
            <w:tcW w:w="1116" w:type="dxa"/>
            <w:tcBorders>
              <w:top w:val="nil"/>
              <w:left w:val="nil"/>
              <w:bottom w:val="nil"/>
              <w:right w:val="nil"/>
            </w:tcBorders>
            <w:shd w:val="clear" w:color="auto" w:fill="auto"/>
            <w:noWrap/>
            <w:hideMark/>
          </w:tcPr>
          <w:p w14:paraId="27EB5969" w14:textId="6699B307" w:rsidR="005C5201" w:rsidRPr="004C7058" w:rsidRDefault="005C5201" w:rsidP="005C5201">
            <w:pPr>
              <w:spacing w:line="240" w:lineRule="auto"/>
              <w:jc w:val="right"/>
              <w:rPr>
                <w:rFonts w:eastAsia="Times New Roman" w:cs="Times New Roman"/>
                <w:color w:val="000000"/>
                <w:sz w:val="22"/>
                <w:szCs w:val="22"/>
              </w:rPr>
            </w:pPr>
            <w:r w:rsidRPr="006C4F24">
              <w:t>$560,000</w:t>
            </w:r>
          </w:p>
        </w:tc>
        <w:tc>
          <w:tcPr>
            <w:tcW w:w="804" w:type="dxa"/>
            <w:tcBorders>
              <w:top w:val="nil"/>
              <w:left w:val="nil"/>
              <w:bottom w:val="nil"/>
              <w:right w:val="nil"/>
            </w:tcBorders>
            <w:shd w:val="clear" w:color="auto" w:fill="auto"/>
            <w:noWrap/>
            <w:hideMark/>
          </w:tcPr>
          <w:p w14:paraId="0AD1D27C" w14:textId="7E68A88F" w:rsidR="005C5201" w:rsidRPr="004C7058" w:rsidRDefault="005C5201" w:rsidP="005C5201">
            <w:pPr>
              <w:spacing w:line="240" w:lineRule="auto"/>
              <w:jc w:val="right"/>
              <w:rPr>
                <w:rFonts w:eastAsia="Times New Roman" w:cs="Times New Roman"/>
                <w:color w:val="000000"/>
                <w:sz w:val="22"/>
                <w:szCs w:val="22"/>
              </w:rPr>
            </w:pPr>
            <w:r w:rsidRPr="00D4779E">
              <w:t>35%</w:t>
            </w:r>
          </w:p>
        </w:tc>
        <w:tc>
          <w:tcPr>
            <w:tcW w:w="777" w:type="dxa"/>
            <w:tcBorders>
              <w:top w:val="nil"/>
              <w:left w:val="nil"/>
              <w:bottom w:val="nil"/>
              <w:right w:val="nil"/>
            </w:tcBorders>
            <w:shd w:val="clear" w:color="auto" w:fill="auto"/>
            <w:noWrap/>
            <w:vAlign w:val="bottom"/>
            <w:hideMark/>
          </w:tcPr>
          <w:p w14:paraId="2E84A182" w14:textId="1F76B244" w:rsidR="005C5201" w:rsidRPr="004C7058" w:rsidRDefault="005C5201" w:rsidP="005C5201">
            <w:pPr>
              <w:spacing w:line="240" w:lineRule="auto"/>
              <w:jc w:val="right"/>
              <w:rPr>
                <w:rFonts w:eastAsia="Times New Roman" w:cs="Times New Roman"/>
                <w:color w:val="000000"/>
                <w:sz w:val="22"/>
                <w:szCs w:val="22"/>
              </w:rPr>
            </w:pPr>
            <w:r w:rsidRPr="004C7058">
              <w:rPr>
                <w:rFonts w:cs="Times New Roman"/>
                <w:color w:val="000000"/>
                <w:sz w:val="22"/>
                <w:szCs w:val="22"/>
              </w:rPr>
              <w:t>23%</w:t>
            </w:r>
          </w:p>
        </w:tc>
        <w:tc>
          <w:tcPr>
            <w:tcW w:w="749" w:type="dxa"/>
            <w:tcBorders>
              <w:top w:val="nil"/>
              <w:left w:val="nil"/>
              <w:bottom w:val="nil"/>
              <w:right w:val="nil"/>
            </w:tcBorders>
            <w:shd w:val="clear" w:color="auto" w:fill="auto"/>
            <w:noWrap/>
            <w:vAlign w:val="bottom"/>
            <w:hideMark/>
          </w:tcPr>
          <w:p w14:paraId="3134D67D" w14:textId="7E0E92E7" w:rsidR="005C5201" w:rsidRPr="004C7058" w:rsidRDefault="005C5201" w:rsidP="005C5201">
            <w:pPr>
              <w:spacing w:line="240" w:lineRule="auto"/>
              <w:jc w:val="right"/>
              <w:rPr>
                <w:rFonts w:eastAsia="Times New Roman" w:cs="Times New Roman"/>
                <w:color w:val="000000"/>
                <w:sz w:val="22"/>
                <w:szCs w:val="22"/>
              </w:rPr>
            </w:pPr>
            <w:r w:rsidRPr="004C7058">
              <w:rPr>
                <w:rFonts w:cs="Times New Roman"/>
                <w:color w:val="000000"/>
                <w:sz w:val="22"/>
                <w:szCs w:val="22"/>
              </w:rPr>
              <w:t>40%</w:t>
            </w:r>
          </w:p>
        </w:tc>
        <w:tc>
          <w:tcPr>
            <w:tcW w:w="832" w:type="dxa"/>
            <w:tcBorders>
              <w:top w:val="nil"/>
              <w:left w:val="nil"/>
              <w:bottom w:val="nil"/>
              <w:right w:val="nil"/>
            </w:tcBorders>
            <w:shd w:val="clear" w:color="auto" w:fill="auto"/>
            <w:noWrap/>
            <w:hideMark/>
          </w:tcPr>
          <w:p w14:paraId="53154037" w14:textId="6C476D83" w:rsidR="005C5201" w:rsidRPr="004C7058" w:rsidRDefault="005C5201" w:rsidP="005C5201">
            <w:pPr>
              <w:spacing w:line="240" w:lineRule="auto"/>
              <w:jc w:val="right"/>
              <w:rPr>
                <w:rFonts w:eastAsia="Times New Roman" w:cs="Times New Roman"/>
                <w:color w:val="000000"/>
                <w:sz w:val="22"/>
                <w:szCs w:val="22"/>
              </w:rPr>
            </w:pPr>
            <w:r w:rsidRPr="008D12FA">
              <w:t>25%</w:t>
            </w:r>
          </w:p>
        </w:tc>
        <w:tc>
          <w:tcPr>
            <w:tcW w:w="818" w:type="dxa"/>
            <w:tcBorders>
              <w:top w:val="nil"/>
              <w:left w:val="nil"/>
              <w:bottom w:val="nil"/>
              <w:right w:val="nil"/>
            </w:tcBorders>
            <w:shd w:val="clear" w:color="auto" w:fill="auto"/>
            <w:noWrap/>
            <w:vAlign w:val="bottom"/>
            <w:hideMark/>
          </w:tcPr>
          <w:p w14:paraId="714D70C5" w14:textId="16D8ADF2" w:rsidR="005C5201" w:rsidRPr="004C7058" w:rsidRDefault="005C5201" w:rsidP="005C5201">
            <w:pPr>
              <w:spacing w:line="240" w:lineRule="auto"/>
              <w:jc w:val="right"/>
              <w:rPr>
                <w:rFonts w:eastAsia="Times New Roman" w:cs="Times New Roman"/>
                <w:color w:val="000000"/>
                <w:sz w:val="22"/>
                <w:szCs w:val="22"/>
              </w:rPr>
            </w:pPr>
            <w:r w:rsidRPr="004C7058">
              <w:rPr>
                <w:rFonts w:cs="Times New Roman"/>
                <w:color w:val="000000"/>
                <w:sz w:val="22"/>
                <w:szCs w:val="22"/>
              </w:rPr>
              <w:t>35%</w:t>
            </w:r>
          </w:p>
        </w:tc>
      </w:tr>
      <w:tr w:rsidR="005C5201" w:rsidRPr="002A2783" w14:paraId="15F7AAD9" w14:textId="77777777" w:rsidTr="001671AD">
        <w:trPr>
          <w:trHeight w:val="300"/>
          <w:jc w:val="center"/>
        </w:trPr>
        <w:tc>
          <w:tcPr>
            <w:tcW w:w="929" w:type="dxa"/>
            <w:tcBorders>
              <w:top w:val="nil"/>
              <w:left w:val="nil"/>
              <w:bottom w:val="nil"/>
              <w:right w:val="single" w:sz="4" w:space="0" w:color="auto"/>
            </w:tcBorders>
            <w:shd w:val="clear" w:color="auto" w:fill="auto"/>
            <w:noWrap/>
            <w:vAlign w:val="bottom"/>
            <w:hideMark/>
          </w:tcPr>
          <w:p w14:paraId="7DA93617" w14:textId="3A62C9C5" w:rsidR="005C5201" w:rsidRPr="004C7058" w:rsidRDefault="005C5201" w:rsidP="005C5201">
            <w:pPr>
              <w:spacing w:line="240" w:lineRule="auto"/>
              <w:jc w:val="right"/>
              <w:rPr>
                <w:rFonts w:eastAsia="Times New Roman" w:cs="Times New Roman"/>
                <w:b/>
                <w:color w:val="000000"/>
                <w:sz w:val="22"/>
                <w:szCs w:val="22"/>
              </w:rPr>
            </w:pPr>
            <w:r w:rsidRPr="004C7058">
              <w:rPr>
                <w:rFonts w:cs="Times New Roman"/>
                <w:b/>
                <w:color w:val="000000"/>
                <w:sz w:val="22"/>
                <w:szCs w:val="22"/>
              </w:rPr>
              <w:t>2010</w:t>
            </w:r>
          </w:p>
        </w:tc>
        <w:tc>
          <w:tcPr>
            <w:tcW w:w="996" w:type="dxa"/>
            <w:tcBorders>
              <w:top w:val="nil"/>
              <w:left w:val="single" w:sz="4" w:space="0" w:color="auto"/>
              <w:bottom w:val="nil"/>
              <w:right w:val="nil"/>
            </w:tcBorders>
            <w:shd w:val="clear" w:color="auto" w:fill="auto"/>
            <w:noWrap/>
            <w:hideMark/>
          </w:tcPr>
          <w:p w14:paraId="5F8D0F0F" w14:textId="19E8F7AC" w:rsidR="005C5201" w:rsidRPr="004C7058" w:rsidRDefault="005C5201" w:rsidP="005C5201">
            <w:pPr>
              <w:spacing w:line="240" w:lineRule="auto"/>
              <w:jc w:val="right"/>
              <w:rPr>
                <w:rFonts w:eastAsia="Times New Roman" w:cs="Times New Roman"/>
                <w:color w:val="000000"/>
                <w:sz w:val="22"/>
                <w:szCs w:val="22"/>
              </w:rPr>
            </w:pPr>
            <w:r w:rsidRPr="006C4F24">
              <w:t>$50,800</w:t>
            </w:r>
          </w:p>
        </w:tc>
        <w:tc>
          <w:tcPr>
            <w:tcW w:w="876" w:type="dxa"/>
            <w:tcBorders>
              <w:top w:val="nil"/>
              <w:left w:val="nil"/>
              <w:bottom w:val="nil"/>
              <w:right w:val="nil"/>
            </w:tcBorders>
            <w:shd w:val="clear" w:color="auto" w:fill="auto"/>
            <w:noWrap/>
            <w:hideMark/>
          </w:tcPr>
          <w:p w14:paraId="41879248" w14:textId="513AC6F0" w:rsidR="005C5201" w:rsidRPr="004C7058" w:rsidRDefault="005C5201" w:rsidP="005C5201">
            <w:pPr>
              <w:spacing w:line="240" w:lineRule="auto"/>
              <w:jc w:val="right"/>
              <w:rPr>
                <w:rFonts w:eastAsia="Times New Roman" w:cs="Times New Roman"/>
                <w:color w:val="000000"/>
                <w:sz w:val="22"/>
                <w:szCs w:val="22"/>
              </w:rPr>
            </w:pPr>
            <w:r w:rsidRPr="006C4F24">
              <w:t>$1,110</w:t>
            </w:r>
          </w:p>
        </w:tc>
        <w:tc>
          <w:tcPr>
            <w:tcW w:w="1116" w:type="dxa"/>
            <w:tcBorders>
              <w:top w:val="nil"/>
              <w:left w:val="nil"/>
              <w:bottom w:val="nil"/>
              <w:right w:val="nil"/>
            </w:tcBorders>
            <w:shd w:val="clear" w:color="auto" w:fill="auto"/>
            <w:noWrap/>
            <w:hideMark/>
          </w:tcPr>
          <w:p w14:paraId="6F0B6C3A" w14:textId="2231498D" w:rsidR="005C5201" w:rsidRPr="004C7058" w:rsidRDefault="005C5201" w:rsidP="005C5201">
            <w:pPr>
              <w:spacing w:line="240" w:lineRule="auto"/>
              <w:jc w:val="right"/>
              <w:rPr>
                <w:rFonts w:eastAsia="Times New Roman" w:cs="Times New Roman"/>
                <w:color w:val="000000"/>
                <w:sz w:val="22"/>
                <w:szCs w:val="22"/>
              </w:rPr>
            </w:pPr>
            <w:r w:rsidRPr="006C4F24">
              <w:t>$550,000</w:t>
            </w:r>
          </w:p>
        </w:tc>
        <w:tc>
          <w:tcPr>
            <w:tcW w:w="804" w:type="dxa"/>
            <w:tcBorders>
              <w:top w:val="nil"/>
              <w:left w:val="nil"/>
              <w:bottom w:val="nil"/>
              <w:right w:val="nil"/>
            </w:tcBorders>
            <w:shd w:val="clear" w:color="auto" w:fill="auto"/>
            <w:noWrap/>
            <w:hideMark/>
          </w:tcPr>
          <w:p w14:paraId="2443D945" w14:textId="433C6B2B" w:rsidR="005C5201" w:rsidRPr="004C7058" w:rsidRDefault="005C5201" w:rsidP="005C5201">
            <w:pPr>
              <w:spacing w:line="240" w:lineRule="auto"/>
              <w:jc w:val="right"/>
              <w:rPr>
                <w:rFonts w:eastAsia="Times New Roman" w:cs="Times New Roman"/>
                <w:color w:val="000000"/>
                <w:sz w:val="22"/>
                <w:szCs w:val="22"/>
              </w:rPr>
            </w:pPr>
            <w:r w:rsidRPr="00D4779E">
              <w:t>35%</w:t>
            </w:r>
          </w:p>
        </w:tc>
        <w:tc>
          <w:tcPr>
            <w:tcW w:w="777" w:type="dxa"/>
            <w:tcBorders>
              <w:top w:val="nil"/>
              <w:left w:val="nil"/>
              <w:bottom w:val="nil"/>
              <w:right w:val="nil"/>
            </w:tcBorders>
            <w:shd w:val="clear" w:color="auto" w:fill="auto"/>
            <w:noWrap/>
            <w:vAlign w:val="bottom"/>
            <w:hideMark/>
          </w:tcPr>
          <w:p w14:paraId="59F2EAA1" w14:textId="11964002" w:rsidR="005C5201" w:rsidRPr="004C7058" w:rsidRDefault="005C5201" w:rsidP="005C5201">
            <w:pPr>
              <w:spacing w:line="240" w:lineRule="auto"/>
              <w:jc w:val="right"/>
              <w:rPr>
                <w:rFonts w:eastAsia="Times New Roman" w:cs="Times New Roman"/>
                <w:color w:val="000000"/>
                <w:sz w:val="22"/>
                <w:szCs w:val="22"/>
              </w:rPr>
            </w:pPr>
            <w:r w:rsidRPr="004C7058">
              <w:rPr>
                <w:rFonts w:cs="Times New Roman"/>
                <w:color w:val="000000"/>
                <w:sz w:val="22"/>
                <w:szCs w:val="22"/>
              </w:rPr>
              <w:t>22%</w:t>
            </w:r>
          </w:p>
        </w:tc>
        <w:tc>
          <w:tcPr>
            <w:tcW w:w="749" w:type="dxa"/>
            <w:tcBorders>
              <w:top w:val="nil"/>
              <w:left w:val="nil"/>
              <w:bottom w:val="nil"/>
              <w:right w:val="nil"/>
            </w:tcBorders>
            <w:shd w:val="clear" w:color="auto" w:fill="auto"/>
            <w:noWrap/>
            <w:vAlign w:val="bottom"/>
            <w:hideMark/>
          </w:tcPr>
          <w:p w14:paraId="57201607" w14:textId="58B5602F" w:rsidR="005C5201" w:rsidRPr="004C7058" w:rsidRDefault="005C5201" w:rsidP="005C5201">
            <w:pPr>
              <w:spacing w:line="240" w:lineRule="auto"/>
              <w:jc w:val="right"/>
              <w:rPr>
                <w:rFonts w:eastAsia="Times New Roman" w:cs="Times New Roman"/>
                <w:color w:val="000000"/>
                <w:sz w:val="22"/>
                <w:szCs w:val="22"/>
              </w:rPr>
            </w:pPr>
            <w:r w:rsidRPr="004C7058">
              <w:rPr>
                <w:rFonts w:cs="Times New Roman"/>
                <w:color w:val="000000"/>
                <w:sz w:val="22"/>
                <w:szCs w:val="22"/>
              </w:rPr>
              <w:t>40%</w:t>
            </w:r>
          </w:p>
        </w:tc>
        <w:tc>
          <w:tcPr>
            <w:tcW w:w="832" w:type="dxa"/>
            <w:tcBorders>
              <w:top w:val="nil"/>
              <w:left w:val="nil"/>
              <w:bottom w:val="nil"/>
              <w:right w:val="nil"/>
            </w:tcBorders>
            <w:shd w:val="clear" w:color="auto" w:fill="auto"/>
            <w:noWrap/>
            <w:hideMark/>
          </w:tcPr>
          <w:p w14:paraId="04F9E7D5" w14:textId="60F4EA01" w:rsidR="005C5201" w:rsidRPr="004C7058" w:rsidRDefault="005C5201" w:rsidP="005C5201">
            <w:pPr>
              <w:spacing w:line="240" w:lineRule="auto"/>
              <w:jc w:val="right"/>
              <w:rPr>
                <w:rFonts w:eastAsia="Times New Roman" w:cs="Times New Roman"/>
                <w:color w:val="000000"/>
                <w:sz w:val="22"/>
                <w:szCs w:val="22"/>
              </w:rPr>
            </w:pPr>
            <w:r w:rsidRPr="008D12FA">
              <w:t>26%</w:t>
            </w:r>
          </w:p>
        </w:tc>
        <w:tc>
          <w:tcPr>
            <w:tcW w:w="818" w:type="dxa"/>
            <w:tcBorders>
              <w:top w:val="nil"/>
              <w:left w:val="nil"/>
              <w:bottom w:val="nil"/>
              <w:right w:val="nil"/>
            </w:tcBorders>
            <w:shd w:val="clear" w:color="auto" w:fill="auto"/>
            <w:noWrap/>
            <w:vAlign w:val="bottom"/>
            <w:hideMark/>
          </w:tcPr>
          <w:p w14:paraId="023F8F54" w14:textId="6C6043C3" w:rsidR="005C5201" w:rsidRPr="004C7058" w:rsidRDefault="005C5201" w:rsidP="005C5201">
            <w:pPr>
              <w:spacing w:line="240" w:lineRule="auto"/>
              <w:jc w:val="right"/>
              <w:rPr>
                <w:rFonts w:eastAsia="Times New Roman" w:cs="Times New Roman"/>
                <w:color w:val="000000"/>
                <w:sz w:val="22"/>
                <w:szCs w:val="22"/>
              </w:rPr>
            </w:pPr>
            <w:r w:rsidRPr="004C7058">
              <w:rPr>
                <w:rFonts w:cs="Times New Roman"/>
                <w:color w:val="000000"/>
                <w:sz w:val="22"/>
                <w:szCs w:val="22"/>
              </w:rPr>
              <w:t>33%</w:t>
            </w:r>
          </w:p>
        </w:tc>
      </w:tr>
      <w:tr w:rsidR="005C5201" w:rsidRPr="002A2783" w14:paraId="2E3B0743" w14:textId="77777777" w:rsidTr="001671AD">
        <w:trPr>
          <w:trHeight w:val="300"/>
          <w:jc w:val="center"/>
        </w:trPr>
        <w:tc>
          <w:tcPr>
            <w:tcW w:w="929" w:type="dxa"/>
            <w:tcBorders>
              <w:top w:val="nil"/>
              <w:left w:val="nil"/>
              <w:bottom w:val="nil"/>
              <w:right w:val="single" w:sz="4" w:space="0" w:color="auto"/>
            </w:tcBorders>
            <w:shd w:val="clear" w:color="auto" w:fill="auto"/>
            <w:noWrap/>
            <w:vAlign w:val="bottom"/>
            <w:hideMark/>
          </w:tcPr>
          <w:p w14:paraId="5961FAAE" w14:textId="62D893E6" w:rsidR="005C5201" w:rsidRPr="004C7058" w:rsidRDefault="005C5201" w:rsidP="005C5201">
            <w:pPr>
              <w:spacing w:line="240" w:lineRule="auto"/>
              <w:jc w:val="right"/>
              <w:rPr>
                <w:rFonts w:eastAsia="Times New Roman" w:cs="Times New Roman"/>
                <w:b/>
                <w:color w:val="000000"/>
                <w:sz w:val="22"/>
                <w:szCs w:val="22"/>
              </w:rPr>
            </w:pPr>
            <w:r w:rsidRPr="004C7058">
              <w:rPr>
                <w:rFonts w:cs="Times New Roman"/>
                <w:b/>
                <w:color w:val="000000"/>
                <w:sz w:val="22"/>
                <w:szCs w:val="22"/>
              </w:rPr>
              <w:t>2011</w:t>
            </w:r>
          </w:p>
        </w:tc>
        <w:tc>
          <w:tcPr>
            <w:tcW w:w="996" w:type="dxa"/>
            <w:tcBorders>
              <w:top w:val="nil"/>
              <w:left w:val="single" w:sz="4" w:space="0" w:color="auto"/>
              <w:bottom w:val="nil"/>
              <w:right w:val="nil"/>
            </w:tcBorders>
            <w:shd w:val="clear" w:color="auto" w:fill="auto"/>
            <w:noWrap/>
            <w:hideMark/>
          </w:tcPr>
          <w:p w14:paraId="1EDAD9BA" w14:textId="3066C3D8" w:rsidR="005C5201" w:rsidRPr="004C7058" w:rsidRDefault="005C5201" w:rsidP="005C5201">
            <w:pPr>
              <w:spacing w:line="240" w:lineRule="auto"/>
              <w:jc w:val="right"/>
              <w:rPr>
                <w:rFonts w:eastAsia="Times New Roman" w:cs="Times New Roman"/>
                <w:color w:val="000000"/>
                <w:sz w:val="22"/>
                <w:szCs w:val="22"/>
              </w:rPr>
            </w:pPr>
            <w:r w:rsidRPr="006C4F24">
              <w:t>$52,000</w:t>
            </w:r>
          </w:p>
        </w:tc>
        <w:tc>
          <w:tcPr>
            <w:tcW w:w="876" w:type="dxa"/>
            <w:tcBorders>
              <w:top w:val="nil"/>
              <w:left w:val="nil"/>
              <w:bottom w:val="nil"/>
              <w:right w:val="nil"/>
            </w:tcBorders>
            <w:shd w:val="clear" w:color="auto" w:fill="auto"/>
            <w:noWrap/>
            <w:hideMark/>
          </w:tcPr>
          <w:p w14:paraId="4CDF795B" w14:textId="0B87C65E" w:rsidR="005C5201" w:rsidRPr="004C7058" w:rsidRDefault="005C5201" w:rsidP="005C5201">
            <w:pPr>
              <w:spacing w:line="240" w:lineRule="auto"/>
              <w:jc w:val="right"/>
              <w:rPr>
                <w:rFonts w:eastAsia="Times New Roman" w:cs="Times New Roman"/>
                <w:color w:val="000000"/>
                <w:sz w:val="22"/>
                <w:szCs w:val="22"/>
              </w:rPr>
            </w:pPr>
            <w:r w:rsidRPr="006C4F24">
              <w:t>$1,170</w:t>
            </w:r>
          </w:p>
        </w:tc>
        <w:tc>
          <w:tcPr>
            <w:tcW w:w="1116" w:type="dxa"/>
            <w:tcBorders>
              <w:top w:val="nil"/>
              <w:left w:val="nil"/>
              <w:bottom w:val="nil"/>
              <w:right w:val="nil"/>
            </w:tcBorders>
            <w:shd w:val="clear" w:color="auto" w:fill="auto"/>
            <w:noWrap/>
            <w:hideMark/>
          </w:tcPr>
          <w:p w14:paraId="7F8BA709" w14:textId="73307EC7" w:rsidR="005C5201" w:rsidRPr="004C7058" w:rsidRDefault="005C5201" w:rsidP="005C5201">
            <w:pPr>
              <w:spacing w:line="240" w:lineRule="auto"/>
              <w:jc w:val="right"/>
              <w:rPr>
                <w:rFonts w:eastAsia="Times New Roman" w:cs="Times New Roman"/>
                <w:color w:val="000000"/>
                <w:sz w:val="22"/>
                <w:szCs w:val="22"/>
              </w:rPr>
            </w:pPr>
            <w:r w:rsidRPr="006C4F24">
              <w:t>$550,000</w:t>
            </w:r>
          </w:p>
        </w:tc>
        <w:tc>
          <w:tcPr>
            <w:tcW w:w="804" w:type="dxa"/>
            <w:tcBorders>
              <w:top w:val="nil"/>
              <w:left w:val="nil"/>
              <w:bottom w:val="nil"/>
              <w:right w:val="nil"/>
            </w:tcBorders>
            <w:shd w:val="clear" w:color="auto" w:fill="auto"/>
            <w:noWrap/>
            <w:hideMark/>
          </w:tcPr>
          <w:p w14:paraId="2B9402AD" w14:textId="3EB8AA21" w:rsidR="005C5201" w:rsidRPr="004C7058" w:rsidRDefault="005C5201" w:rsidP="005C5201">
            <w:pPr>
              <w:spacing w:line="240" w:lineRule="auto"/>
              <w:jc w:val="right"/>
              <w:rPr>
                <w:rFonts w:eastAsia="Times New Roman" w:cs="Times New Roman"/>
                <w:color w:val="000000"/>
                <w:sz w:val="22"/>
                <w:szCs w:val="22"/>
              </w:rPr>
            </w:pPr>
            <w:r w:rsidRPr="00D4779E">
              <w:t>35%</w:t>
            </w:r>
          </w:p>
        </w:tc>
        <w:tc>
          <w:tcPr>
            <w:tcW w:w="777" w:type="dxa"/>
            <w:tcBorders>
              <w:top w:val="nil"/>
              <w:left w:val="nil"/>
              <w:bottom w:val="nil"/>
              <w:right w:val="nil"/>
            </w:tcBorders>
            <w:shd w:val="clear" w:color="auto" w:fill="auto"/>
            <w:noWrap/>
            <w:vAlign w:val="bottom"/>
            <w:hideMark/>
          </w:tcPr>
          <w:p w14:paraId="68376ACE" w14:textId="45F5FC06" w:rsidR="005C5201" w:rsidRPr="004C7058" w:rsidRDefault="005C5201" w:rsidP="005C5201">
            <w:pPr>
              <w:spacing w:line="240" w:lineRule="auto"/>
              <w:jc w:val="right"/>
              <w:rPr>
                <w:rFonts w:eastAsia="Times New Roman" w:cs="Times New Roman"/>
                <w:color w:val="000000"/>
                <w:sz w:val="22"/>
                <w:szCs w:val="22"/>
              </w:rPr>
            </w:pPr>
            <w:r w:rsidRPr="004C7058">
              <w:rPr>
                <w:rFonts w:cs="Times New Roman"/>
                <w:color w:val="000000"/>
                <w:sz w:val="22"/>
                <w:szCs w:val="22"/>
              </w:rPr>
              <w:t>22%</w:t>
            </w:r>
          </w:p>
        </w:tc>
        <w:tc>
          <w:tcPr>
            <w:tcW w:w="749" w:type="dxa"/>
            <w:tcBorders>
              <w:top w:val="nil"/>
              <w:left w:val="nil"/>
              <w:bottom w:val="nil"/>
              <w:right w:val="nil"/>
            </w:tcBorders>
            <w:shd w:val="clear" w:color="auto" w:fill="auto"/>
            <w:noWrap/>
            <w:vAlign w:val="bottom"/>
            <w:hideMark/>
          </w:tcPr>
          <w:p w14:paraId="31095760" w14:textId="05BE38DF" w:rsidR="005C5201" w:rsidRPr="004C7058" w:rsidRDefault="005C5201" w:rsidP="005C5201">
            <w:pPr>
              <w:spacing w:line="240" w:lineRule="auto"/>
              <w:jc w:val="right"/>
              <w:rPr>
                <w:rFonts w:eastAsia="Times New Roman" w:cs="Times New Roman"/>
                <w:color w:val="000000"/>
                <w:sz w:val="22"/>
                <w:szCs w:val="22"/>
              </w:rPr>
            </w:pPr>
            <w:r w:rsidRPr="004C7058">
              <w:rPr>
                <w:rFonts w:cs="Times New Roman"/>
                <w:color w:val="000000"/>
                <w:sz w:val="22"/>
                <w:szCs w:val="22"/>
              </w:rPr>
              <w:t>41%</w:t>
            </w:r>
          </w:p>
        </w:tc>
        <w:tc>
          <w:tcPr>
            <w:tcW w:w="832" w:type="dxa"/>
            <w:tcBorders>
              <w:top w:val="nil"/>
              <w:left w:val="nil"/>
              <w:bottom w:val="nil"/>
              <w:right w:val="nil"/>
            </w:tcBorders>
            <w:shd w:val="clear" w:color="auto" w:fill="auto"/>
            <w:noWrap/>
            <w:hideMark/>
          </w:tcPr>
          <w:p w14:paraId="4E69BEFD" w14:textId="68114610" w:rsidR="005C5201" w:rsidRPr="004C7058" w:rsidRDefault="005C5201" w:rsidP="005C5201">
            <w:pPr>
              <w:spacing w:line="240" w:lineRule="auto"/>
              <w:jc w:val="right"/>
              <w:rPr>
                <w:rFonts w:eastAsia="Times New Roman" w:cs="Times New Roman"/>
                <w:color w:val="000000"/>
                <w:sz w:val="22"/>
                <w:szCs w:val="22"/>
              </w:rPr>
            </w:pPr>
            <w:r w:rsidRPr="008D12FA">
              <w:t>26%</w:t>
            </w:r>
          </w:p>
        </w:tc>
        <w:tc>
          <w:tcPr>
            <w:tcW w:w="818" w:type="dxa"/>
            <w:tcBorders>
              <w:top w:val="nil"/>
              <w:left w:val="nil"/>
              <w:bottom w:val="nil"/>
              <w:right w:val="nil"/>
            </w:tcBorders>
            <w:shd w:val="clear" w:color="auto" w:fill="auto"/>
            <w:noWrap/>
            <w:vAlign w:val="bottom"/>
            <w:hideMark/>
          </w:tcPr>
          <w:p w14:paraId="49D0C3D4" w14:textId="051F01DF" w:rsidR="005C5201" w:rsidRPr="004C7058" w:rsidRDefault="005C5201" w:rsidP="005C5201">
            <w:pPr>
              <w:spacing w:line="240" w:lineRule="auto"/>
              <w:jc w:val="right"/>
              <w:rPr>
                <w:rFonts w:eastAsia="Times New Roman" w:cs="Times New Roman"/>
                <w:color w:val="000000"/>
                <w:sz w:val="22"/>
                <w:szCs w:val="22"/>
              </w:rPr>
            </w:pPr>
            <w:r w:rsidRPr="004C7058">
              <w:rPr>
                <w:rFonts w:cs="Times New Roman"/>
                <w:color w:val="000000"/>
                <w:sz w:val="22"/>
                <w:szCs w:val="22"/>
              </w:rPr>
              <w:t>33%</w:t>
            </w:r>
          </w:p>
        </w:tc>
      </w:tr>
    </w:tbl>
    <w:p w14:paraId="7136DE0F" w14:textId="692F05B9" w:rsidR="00887627" w:rsidRDefault="00887627" w:rsidP="00B14402">
      <w:pPr>
        <w:pStyle w:val="ListParagraph"/>
        <w:spacing w:line="240" w:lineRule="auto"/>
        <w:ind w:left="0"/>
        <w:rPr>
          <w:rFonts w:cs="Times New Roman"/>
        </w:rPr>
      </w:pPr>
    </w:p>
    <w:p w14:paraId="47D111FE" w14:textId="2494FB59" w:rsidR="00435D73" w:rsidRPr="00672AFE" w:rsidRDefault="008E5ABE" w:rsidP="0050402C">
      <w:pPr>
        <w:pStyle w:val="ListParagraph"/>
        <w:ind w:left="0" w:firstLine="720"/>
        <w:rPr>
          <w:rFonts w:cs="Times New Roman"/>
        </w:rPr>
      </w:pPr>
      <w:r>
        <w:rPr>
          <w:rFonts w:cs="Times New Roman"/>
        </w:rPr>
        <w:t>Figure 2</w:t>
      </w:r>
      <w:r w:rsidR="00435D73">
        <w:rPr>
          <w:rFonts w:cs="Times New Roman"/>
        </w:rPr>
        <w:t xml:space="preserve"> shows these same variables over time for two neighborhoods, one expected to be experiencing gentrification</w:t>
      </w:r>
      <w:r w:rsidR="00F74638">
        <w:rPr>
          <w:rFonts w:cs="Times New Roman"/>
        </w:rPr>
        <w:t xml:space="preserve"> (Williamsburg)</w:t>
      </w:r>
      <w:r w:rsidR="00435D73">
        <w:rPr>
          <w:rFonts w:cs="Times New Roman"/>
        </w:rPr>
        <w:t>, and the other not</w:t>
      </w:r>
      <w:r w:rsidR="00F74638">
        <w:rPr>
          <w:rFonts w:cs="Times New Roman"/>
        </w:rPr>
        <w:t xml:space="preserve"> (Upper West Side)</w:t>
      </w:r>
      <w:r w:rsidR="00435D73">
        <w:rPr>
          <w:rFonts w:cs="Times New Roman"/>
        </w:rPr>
        <w:t>.</w:t>
      </w:r>
      <w:r w:rsidR="00F74638">
        <w:rPr>
          <w:rFonts w:cs="Times New Roman"/>
        </w:rPr>
        <w:t xml:space="preserve"> Although the </w:t>
      </w:r>
      <w:r w:rsidR="00F74638">
        <w:rPr>
          <w:rFonts w:cs="Times New Roman"/>
        </w:rPr>
        <w:lastRenderedPageBreak/>
        <w:t xml:space="preserve">Upper West Side has significantly higher values for most of the indicators (in particular, median household income and occupational prestige) there is no trend over time – the neighborhood is not changing noticeably. In Williamsburg, on the other hand, although indicators such as residential mobility and educational attainment are relatively low throughout, they are steadily increasing over the study period. </w:t>
      </w:r>
      <w:r w:rsidR="009C33D4">
        <w:rPr>
          <w:rFonts w:cs="Times New Roman"/>
        </w:rPr>
        <w:t xml:space="preserve">This comparison highlights the importance of examining change over time across these variables, rather than their absolute values. </w:t>
      </w:r>
      <w:r w:rsidR="00672AFE">
        <w:rPr>
          <w:rFonts w:cs="Times New Roman"/>
        </w:rPr>
        <w:t xml:space="preserve">Gentrifying neighborhoods are always in a process of </w:t>
      </w:r>
      <w:r w:rsidR="00672AFE">
        <w:rPr>
          <w:rFonts w:cs="Times New Roman"/>
          <w:i/>
        </w:rPr>
        <w:t>change</w:t>
      </w:r>
      <w:r w:rsidR="00672AFE">
        <w:rPr>
          <w:rFonts w:cs="Times New Roman"/>
        </w:rPr>
        <w:t>. Thus my analyses will focus primarily on the difference in these variables over time.</w:t>
      </w:r>
    </w:p>
    <w:p w14:paraId="400D633D" w14:textId="3B3047BC" w:rsidR="00435D73" w:rsidRDefault="009C33D4" w:rsidP="00435D73">
      <w:pPr>
        <w:rPr>
          <w:rFonts w:cs="Times New Roman"/>
          <w:b/>
        </w:rPr>
      </w:pPr>
      <w:r>
        <w:rPr>
          <w:noProof/>
        </w:rPr>
        <w:drawing>
          <wp:anchor distT="0" distB="0" distL="114300" distR="114300" simplePos="0" relativeHeight="251659264" behindDoc="0" locked="0" layoutInCell="1" allowOverlap="1" wp14:anchorId="4FEA8D35" wp14:editId="221A2F7D">
            <wp:simplePos x="0" y="0"/>
            <wp:positionH relativeFrom="column">
              <wp:posOffset>2962275</wp:posOffset>
            </wp:positionH>
            <wp:positionV relativeFrom="paragraph">
              <wp:posOffset>398145</wp:posOffset>
            </wp:positionV>
            <wp:extent cx="3114675" cy="30384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2388"/>
                    <a:stretch/>
                  </pic:blipFill>
                  <pic:spPr bwMode="auto">
                    <a:xfrm>
                      <a:off x="0" y="0"/>
                      <a:ext cx="3114675" cy="3038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4638">
        <w:rPr>
          <w:noProof/>
        </w:rPr>
        <w:drawing>
          <wp:anchor distT="0" distB="0" distL="114300" distR="114300" simplePos="0" relativeHeight="251660288" behindDoc="0" locked="0" layoutInCell="1" allowOverlap="1" wp14:anchorId="5ADE1ABF" wp14:editId="76025450">
            <wp:simplePos x="0" y="0"/>
            <wp:positionH relativeFrom="margin">
              <wp:posOffset>-114300</wp:posOffset>
            </wp:positionH>
            <wp:positionV relativeFrom="paragraph">
              <wp:posOffset>331470</wp:posOffset>
            </wp:positionV>
            <wp:extent cx="3048000" cy="31051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096" r="2096"/>
                    <a:stretch/>
                  </pic:blipFill>
                  <pic:spPr bwMode="auto">
                    <a:xfrm>
                      <a:off x="0" y="0"/>
                      <a:ext cx="3048000" cy="3105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5ABE">
        <w:rPr>
          <w:rFonts w:cs="Times New Roman"/>
          <w:b/>
        </w:rPr>
        <w:t>Figure 2</w:t>
      </w:r>
      <w:r w:rsidR="00435D73" w:rsidRPr="00435D73">
        <w:rPr>
          <w:rFonts w:cs="Times New Roman"/>
          <w:b/>
        </w:rPr>
        <w:t>. Gentrification Indicators in the Upper West Side</w:t>
      </w:r>
      <w:r w:rsidR="00F74638">
        <w:rPr>
          <w:rFonts w:cs="Times New Roman"/>
          <w:b/>
        </w:rPr>
        <w:t xml:space="preserve"> and Williamsburg, Brooklyn</w:t>
      </w:r>
    </w:p>
    <w:p w14:paraId="0B8E424F" w14:textId="77777777" w:rsidR="009C33D4" w:rsidRPr="00435D73" w:rsidRDefault="009C33D4" w:rsidP="009C33D4">
      <w:pPr>
        <w:spacing w:line="240" w:lineRule="auto"/>
        <w:rPr>
          <w:rFonts w:cs="Times New Roman"/>
          <w:b/>
        </w:rPr>
      </w:pPr>
    </w:p>
    <w:p w14:paraId="54A1DBE4" w14:textId="17340DCF" w:rsidR="00F74638" w:rsidRDefault="00A24AC2" w:rsidP="0050402C">
      <w:pPr>
        <w:pStyle w:val="ListParagraph"/>
        <w:ind w:left="0" w:firstLine="720"/>
        <w:rPr>
          <w:rFonts w:cs="Times New Roman"/>
        </w:rPr>
      </w:pPr>
      <w:r>
        <w:rPr>
          <w:noProof/>
        </w:rPr>
        <w:t xml:space="preserve"> </w:t>
      </w:r>
      <w:r w:rsidR="005B2388">
        <w:rPr>
          <w:rFonts w:cs="Times New Roman"/>
        </w:rPr>
        <w:t xml:space="preserve">In order to capture the net effect of changes in these </w:t>
      </w:r>
      <w:r w:rsidR="00B16F69">
        <w:rPr>
          <w:rFonts w:cs="Times New Roman"/>
        </w:rPr>
        <w:t>eight</w:t>
      </w:r>
      <w:r w:rsidR="005B2388">
        <w:rPr>
          <w:rFonts w:cs="Times New Roman"/>
        </w:rPr>
        <w:t xml:space="preserve"> different variables, I constructed a composite index measure. First I normalized the values </w:t>
      </w:r>
      <w:r w:rsidR="004A5C66">
        <w:rPr>
          <w:rFonts w:cs="Times New Roman"/>
        </w:rPr>
        <w:t xml:space="preserve">of the </w:t>
      </w:r>
      <w:r w:rsidR="00B16F69">
        <w:rPr>
          <w:rFonts w:cs="Times New Roman"/>
        </w:rPr>
        <w:t>eight</w:t>
      </w:r>
      <w:r w:rsidR="004A5C66">
        <w:rPr>
          <w:rFonts w:cs="Times New Roman"/>
        </w:rPr>
        <w:t xml:space="preserve"> variables </w:t>
      </w:r>
      <w:r w:rsidR="005B2388">
        <w:rPr>
          <w:rFonts w:cs="Times New Roman"/>
        </w:rPr>
        <w:t>using a standard z-score transformation</w:t>
      </w:r>
      <w:r w:rsidR="0050402C">
        <w:rPr>
          <w:rFonts w:cs="Times New Roman"/>
        </w:rPr>
        <w:t>,</w:t>
      </w:r>
      <w:r w:rsidR="005B2388" w:rsidRPr="005B2388">
        <w:rPr>
          <w:noProof/>
        </w:rPr>
        <w:t xml:space="preserve"> </w:t>
      </w:r>
      <m:oMath>
        <m:r>
          <w:rPr>
            <w:rFonts w:ascii="Cambria Math" w:hAnsi="Cambria Math"/>
            <w:noProof/>
          </w:rPr>
          <m:t xml:space="preserve">z= </m:t>
        </m:r>
        <m:f>
          <m:fPr>
            <m:ctrlPr>
              <w:rPr>
                <w:rFonts w:ascii="Cambria Math" w:hAnsi="Cambria Math"/>
                <w:i/>
                <w:noProof/>
              </w:rPr>
            </m:ctrlPr>
          </m:fPr>
          <m:num>
            <m:r>
              <w:rPr>
                <w:rFonts w:ascii="Cambria Math" w:hAnsi="Cambria Math"/>
                <w:noProof/>
              </w:rPr>
              <m:t>x-</m:t>
            </m:r>
            <m:acc>
              <m:accPr>
                <m:chr m:val="̅"/>
                <m:ctrlPr>
                  <w:rPr>
                    <w:rFonts w:ascii="Cambria Math" w:hAnsi="Cambria Math"/>
                    <w:i/>
                    <w:noProof/>
                  </w:rPr>
                </m:ctrlPr>
              </m:accPr>
              <m:e>
                <m:r>
                  <w:rPr>
                    <w:rFonts w:ascii="Cambria Math" w:hAnsi="Cambria Math"/>
                    <w:noProof/>
                  </w:rPr>
                  <m:t>x</m:t>
                </m:r>
              </m:e>
            </m:acc>
          </m:num>
          <m:den>
            <m:r>
              <w:rPr>
                <w:rFonts w:ascii="Cambria Math" w:hAnsi="Cambria Math"/>
                <w:noProof/>
              </w:rPr>
              <m:t>σ</m:t>
            </m:r>
          </m:den>
        </m:f>
        <m:r>
          <w:rPr>
            <w:rFonts w:ascii="Cambria Math" w:hAnsi="Cambria Math"/>
            <w:noProof/>
          </w:rPr>
          <m:t xml:space="preserve"> </m:t>
        </m:r>
      </m:oMath>
      <w:r w:rsidR="0050402C">
        <w:rPr>
          <w:noProof/>
        </w:rPr>
        <w:t>,</w:t>
      </w:r>
      <w:r w:rsidR="0050402C">
        <w:rPr>
          <w:rFonts w:cs="Times New Roman"/>
        </w:rPr>
        <w:t xml:space="preserve"> t</w:t>
      </w:r>
      <w:r w:rsidR="005B2388">
        <w:rPr>
          <w:rFonts w:cs="Times New Roman"/>
        </w:rPr>
        <w:t>hen</w:t>
      </w:r>
      <w:r w:rsidR="004A5C66">
        <w:rPr>
          <w:rFonts w:cs="Times New Roman"/>
        </w:rPr>
        <w:t xml:space="preserve"> I</w:t>
      </w:r>
      <w:r w:rsidR="005B2388">
        <w:rPr>
          <w:rFonts w:cs="Times New Roman"/>
        </w:rPr>
        <w:t xml:space="preserve"> </w:t>
      </w:r>
      <w:r w:rsidR="008020E5">
        <w:rPr>
          <w:rFonts w:cs="Times New Roman"/>
        </w:rPr>
        <w:t>took the mean of the values</w:t>
      </w:r>
      <w:r w:rsidR="0050402C">
        <w:rPr>
          <w:rFonts w:cs="Times New Roman"/>
        </w:rPr>
        <w:t xml:space="preserve"> for each PUMA and Year combination</w:t>
      </w:r>
      <w:r w:rsidR="008020E5">
        <w:rPr>
          <w:rFonts w:cs="Times New Roman"/>
        </w:rPr>
        <w:t xml:space="preserve"> to get a standardized</w:t>
      </w:r>
      <w:r w:rsidR="004A5C66">
        <w:rPr>
          <w:rFonts w:cs="Times New Roman"/>
        </w:rPr>
        <w:t xml:space="preserve"> index (NDX)</w:t>
      </w:r>
      <w:r w:rsidR="009B1415">
        <w:rPr>
          <w:rFonts w:cs="Times New Roman"/>
        </w:rPr>
        <w:t xml:space="preserve"> of gentrification</w:t>
      </w:r>
      <w:r w:rsidR="004A5C66">
        <w:rPr>
          <w:rFonts w:cs="Times New Roman"/>
        </w:rPr>
        <w:t>.</w:t>
      </w:r>
      <w:r w:rsidR="009B1415">
        <w:rPr>
          <w:rFonts w:cs="Times New Roman"/>
        </w:rPr>
        <w:t xml:space="preserve"> </w:t>
      </w:r>
      <w:r w:rsidR="000F5D17">
        <w:rPr>
          <w:rFonts w:cs="Times New Roman"/>
        </w:rPr>
        <w:t xml:space="preserve">Note that </w:t>
      </w:r>
      <w:r w:rsidR="009B1415">
        <w:rPr>
          <w:rFonts w:cs="Times New Roman"/>
        </w:rPr>
        <w:t>all variables are expected to increase with gentrification</w:t>
      </w:r>
      <w:r w:rsidR="000F5D17">
        <w:rPr>
          <w:rFonts w:cs="Times New Roman"/>
        </w:rPr>
        <w:t xml:space="preserve">, therefore </w:t>
      </w:r>
      <w:r w:rsidR="008020E5">
        <w:rPr>
          <w:rFonts w:cs="Times New Roman"/>
        </w:rPr>
        <w:t xml:space="preserve">the mean </w:t>
      </w:r>
      <w:r w:rsidR="000F5D17">
        <w:rPr>
          <w:rFonts w:cs="Times New Roman"/>
        </w:rPr>
        <w:t xml:space="preserve">should correspond to an </w:t>
      </w:r>
      <w:r w:rsidR="008020E5">
        <w:rPr>
          <w:rFonts w:cs="Times New Roman"/>
        </w:rPr>
        <w:t xml:space="preserve">average </w:t>
      </w:r>
      <w:r w:rsidR="000F5D17">
        <w:rPr>
          <w:rFonts w:cs="Times New Roman"/>
        </w:rPr>
        <w:lastRenderedPageBreak/>
        <w:t>indication of gentrification</w:t>
      </w:r>
      <w:r w:rsidR="009B1415">
        <w:rPr>
          <w:rFonts w:cs="Times New Roman"/>
        </w:rPr>
        <w:t>.</w:t>
      </w:r>
      <w:r w:rsidR="000F5D17">
        <w:rPr>
          <w:rFonts w:cs="Times New Roman"/>
        </w:rPr>
        <w:t xml:space="preserve"> The literature does not suggest a</w:t>
      </w:r>
      <w:r w:rsidR="00C60B2E">
        <w:rPr>
          <w:rFonts w:cs="Times New Roman"/>
        </w:rPr>
        <w:t>ny particular</w:t>
      </w:r>
      <w:r w:rsidR="000F5D17">
        <w:rPr>
          <w:rFonts w:cs="Times New Roman"/>
        </w:rPr>
        <w:t xml:space="preserve"> scheme to give more </w:t>
      </w:r>
      <w:r w:rsidR="00C60B2E">
        <w:rPr>
          <w:rFonts w:cs="Times New Roman"/>
        </w:rPr>
        <w:t>weight to some variables</w:t>
      </w:r>
      <w:r w:rsidR="000F5D17">
        <w:rPr>
          <w:rFonts w:cs="Times New Roman"/>
        </w:rPr>
        <w:t xml:space="preserve"> over others, so each is weighted equally.</w:t>
      </w:r>
      <w:r w:rsidR="004A5C66">
        <w:rPr>
          <w:rFonts w:cs="Times New Roman"/>
        </w:rPr>
        <w:t xml:space="preserve"> </w:t>
      </w:r>
    </w:p>
    <w:p w14:paraId="5641F3FE" w14:textId="4D0E258F" w:rsidR="005B2388" w:rsidRDefault="009B1415" w:rsidP="0050402C">
      <w:pPr>
        <w:pStyle w:val="ListParagraph"/>
        <w:ind w:left="0" w:firstLine="720"/>
        <w:rPr>
          <w:rFonts w:cs="Times New Roman"/>
        </w:rPr>
      </w:pPr>
      <w:r>
        <w:rPr>
          <w:rFonts w:cs="Times New Roman"/>
        </w:rPr>
        <w:t xml:space="preserve">To </w:t>
      </w:r>
      <w:r w:rsidR="000F5D17">
        <w:rPr>
          <w:rFonts w:cs="Times New Roman"/>
        </w:rPr>
        <w:t xml:space="preserve">assess </w:t>
      </w:r>
      <w:r>
        <w:rPr>
          <w:rFonts w:cs="Times New Roman"/>
        </w:rPr>
        <w:t xml:space="preserve">the relevance and meaningfulness of this index, I </w:t>
      </w:r>
      <w:r w:rsidR="000F5D17">
        <w:rPr>
          <w:rFonts w:cs="Times New Roman"/>
        </w:rPr>
        <w:t xml:space="preserve">constructed a histogram of the </w:t>
      </w:r>
      <w:r w:rsidR="00C60B2E">
        <w:rPr>
          <w:rFonts w:cs="Times New Roman"/>
        </w:rPr>
        <w:t xml:space="preserve">difference in </w:t>
      </w:r>
      <w:r w:rsidR="000F5D17">
        <w:rPr>
          <w:rFonts w:cs="Times New Roman"/>
        </w:rPr>
        <w:t>index values</w:t>
      </w:r>
      <w:r w:rsidR="00C60B2E">
        <w:rPr>
          <w:rFonts w:cs="Times New Roman"/>
        </w:rPr>
        <w:t xml:space="preserve"> between the first and last years in the dataset</w:t>
      </w:r>
      <w:r w:rsidR="000F5D17">
        <w:rPr>
          <w:rFonts w:cs="Times New Roman"/>
        </w:rPr>
        <w:t>.</w:t>
      </w:r>
      <w:r w:rsidR="00C60B2E">
        <w:rPr>
          <w:rFonts w:cs="Times New Roman"/>
        </w:rPr>
        <w:t xml:space="preserve"> These values correspond to the total increase or decrease in the gentrification indicators in each neighborhood over the course of the study. The histogram</w:t>
      </w:r>
      <w:r w:rsidR="008E5ABE">
        <w:rPr>
          <w:rFonts w:cs="Times New Roman"/>
        </w:rPr>
        <w:t xml:space="preserve"> in Figure 3</w:t>
      </w:r>
      <w:r w:rsidR="00C60B2E">
        <w:rPr>
          <w:rFonts w:cs="Times New Roman"/>
        </w:rPr>
        <w:t xml:space="preserve"> shows that most neighborhoods are clustered around 0, indicating that, regardless of their initial positions, most neighborhoods did not see substantial changes in gentrification-associated indicators. There are, however, several outliers that experienced substantial increases in the gentrification index.</w:t>
      </w:r>
    </w:p>
    <w:p w14:paraId="098CFA91" w14:textId="1B0AB53F" w:rsidR="005244A6" w:rsidRDefault="008E5ABE" w:rsidP="005244A6">
      <w:pPr>
        <w:pStyle w:val="ListParagraph"/>
        <w:ind w:left="0"/>
        <w:rPr>
          <w:rFonts w:cs="Times New Roman"/>
          <w:b/>
        </w:rPr>
      </w:pPr>
      <w:r>
        <w:rPr>
          <w:rFonts w:cs="Times New Roman"/>
          <w:b/>
        </w:rPr>
        <w:t>Figure 3</w:t>
      </w:r>
      <w:r w:rsidR="00C60B2E">
        <w:rPr>
          <w:rFonts w:cs="Times New Roman"/>
          <w:b/>
        </w:rPr>
        <w:t>. Histogram of Differences in Gentrification Index</w:t>
      </w:r>
    </w:p>
    <w:p w14:paraId="53CD7CC3" w14:textId="00754C12" w:rsidR="00C60B2E" w:rsidRDefault="005244A6" w:rsidP="005244A6">
      <w:pPr>
        <w:pStyle w:val="ListParagraph"/>
        <w:ind w:left="0"/>
        <w:jc w:val="center"/>
        <w:rPr>
          <w:rFonts w:cs="Times New Roman"/>
        </w:rPr>
      </w:pPr>
      <w:r>
        <w:rPr>
          <w:noProof/>
        </w:rPr>
        <w:drawing>
          <wp:inline distT="0" distB="0" distL="0" distR="0" wp14:anchorId="081CD5E0" wp14:editId="55459B36">
            <wp:extent cx="4514850"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14850" cy="3257550"/>
                    </a:xfrm>
                    <a:prstGeom prst="rect">
                      <a:avLst/>
                    </a:prstGeom>
                  </pic:spPr>
                </pic:pic>
              </a:graphicData>
            </a:graphic>
          </wp:inline>
        </w:drawing>
      </w:r>
    </w:p>
    <w:p w14:paraId="6D9FB59E" w14:textId="46BA4EA8" w:rsidR="00690DC6" w:rsidRPr="00D375EE" w:rsidRDefault="00561BCD" w:rsidP="00D375EE">
      <w:pPr>
        <w:pStyle w:val="ListParagraph"/>
        <w:ind w:left="0" w:firstLine="720"/>
        <w:rPr>
          <w:rFonts w:cs="Times New Roman"/>
        </w:rPr>
      </w:pPr>
      <w:r>
        <w:rPr>
          <w:rFonts w:cs="Times New Roman"/>
        </w:rPr>
        <w:t>The project website (http://jeffhudson.github.io/nycgent/)</w:t>
      </w:r>
      <w:r w:rsidR="002D7690">
        <w:rPr>
          <w:rFonts w:cs="Times New Roman"/>
        </w:rPr>
        <w:t xml:space="preserve"> displays a map of the changes in gentrification index by neighborhood. Outlier neighborhoods can be identified (in purple). </w:t>
      </w:r>
      <w:r w:rsidR="00814CEC">
        <w:rPr>
          <w:rFonts w:cs="Times New Roman"/>
        </w:rPr>
        <w:t xml:space="preserve">These outliers </w:t>
      </w:r>
      <w:r w:rsidR="00A7005E">
        <w:rPr>
          <w:rFonts w:cs="Times New Roman"/>
        </w:rPr>
        <w:t xml:space="preserve">(with total increases in the gentrification index greater than 0.25) are </w:t>
      </w:r>
      <w:r w:rsidR="00814CEC">
        <w:rPr>
          <w:rFonts w:cs="Times New Roman"/>
        </w:rPr>
        <w:t>listed by name</w:t>
      </w:r>
      <w:r w:rsidR="00A7005E">
        <w:rPr>
          <w:rFonts w:cs="Times New Roman"/>
        </w:rPr>
        <w:t xml:space="preserve"> in Table 2. They include well-known gentrifying neighborhoods such as Williamsburg in </w:t>
      </w:r>
      <w:r w:rsidR="00A7005E">
        <w:rPr>
          <w:rFonts w:cs="Times New Roman"/>
        </w:rPr>
        <w:lastRenderedPageBreak/>
        <w:t>Brooklyn, but also several neighborhoods in the Bronx, which is less commonly associated with gentrification.</w:t>
      </w:r>
      <w:r w:rsidR="00271D80">
        <w:rPr>
          <w:rFonts w:cs="Times New Roman"/>
        </w:rPr>
        <w:t xml:space="preserve"> The most significant increase is in the West Harlem neighborhoods of Hamilton Heights and Manhattanville.</w:t>
      </w:r>
      <w:r w:rsidR="00A05CBF">
        <w:rPr>
          <w:rFonts w:cs="Times New Roman"/>
        </w:rPr>
        <w:t xml:space="preserve"> These results confirm my expectations based on the recent literature </w:t>
      </w:r>
      <w:r w:rsidR="00B27D5F">
        <w:rPr>
          <w:rFonts w:cs="Times New Roman"/>
        </w:rPr>
        <w:t>identifying gentrified neighborhoods in New York City (Barton 2014).</w:t>
      </w:r>
      <w:r w:rsidR="00094004">
        <w:rPr>
          <w:rFonts w:cs="Times New Roman"/>
        </w:rPr>
        <w:t xml:space="preserve"> The project website can </w:t>
      </w:r>
      <w:r w:rsidR="00D375EE">
        <w:rPr>
          <w:rFonts w:cs="Times New Roman"/>
        </w:rPr>
        <w:t xml:space="preserve">also </w:t>
      </w:r>
      <w:r w:rsidR="00094004">
        <w:rPr>
          <w:rFonts w:cs="Times New Roman"/>
        </w:rPr>
        <w:t>be used to view the map for any variable and year combination, as well as the 2005-2011 trend over time.</w:t>
      </w:r>
    </w:p>
    <w:p w14:paraId="6D5D82D1" w14:textId="1D3A95DA" w:rsidR="00271D80" w:rsidRDefault="00271D80" w:rsidP="00271D80">
      <w:pPr>
        <w:rPr>
          <w:rFonts w:cs="Times New Roman"/>
          <w:b/>
        </w:rPr>
      </w:pPr>
      <w:r w:rsidRPr="00271D80">
        <w:rPr>
          <w:rFonts w:cs="Times New Roman"/>
          <w:b/>
        </w:rPr>
        <w:t>Table 2.</w:t>
      </w:r>
      <w:r>
        <w:rPr>
          <w:rFonts w:cs="Times New Roman"/>
          <w:b/>
        </w:rPr>
        <w:t xml:space="preserve"> Neighborhoods with Significant Increase in Gentrification Index 2005-2011</w:t>
      </w:r>
    </w:p>
    <w:tbl>
      <w:tblPr>
        <w:tblW w:w="7650" w:type="dxa"/>
        <w:jc w:val="center"/>
        <w:tblLook w:val="04A0" w:firstRow="1" w:lastRow="0" w:firstColumn="1" w:lastColumn="0" w:noHBand="0" w:noVBand="1"/>
      </w:tblPr>
      <w:tblGrid>
        <w:gridCol w:w="6040"/>
        <w:gridCol w:w="1520"/>
        <w:gridCol w:w="90"/>
      </w:tblGrid>
      <w:tr w:rsidR="00271D80" w:rsidRPr="00271D80" w14:paraId="21C8FE4A" w14:textId="77777777" w:rsidTr="00271D80">
        <w:trPr>
          <w:trHeight w:val="300"/>
          <w:jc w:val="center"/>
        </w:trPr>
        <w:tc>
          <w:tcPr>
            <w:tcW w:w="6040" w:type="dxa"/>
            <w:tcBorders>
              <w:top w:val="nil"/>
              <w:left w:val="nil"/>
              <w:bottom w:val="single" w:sz="4" w:space="0" w:color="auto"/>
              <w:right w:val="nil"/>
            </w:tcBorders>
            <w:shd w:val="clear" w:color="auto" w:fill="auto"/>
            <w:noWrap/>
            <w:vAlign w:val="bottom"/>
            <w:hideMark/>
          </w:tcPr>
          <w:p w14:paraId="1E3EA9D2" w14:textId="2C55E3B6" w:rsidR="00271D80" w:rsidRPr="00271D80" w:rsidRDefault="00271D80" w:rsidP="00271D80">
            <w:pPr>
              <w:spacing w:line="240" w:lineRule="auto"/>
              <w:rPr>
                <w:rFonts w:eastAsia="Times New Roman" w:cs="Times New Roman"/>
                <w:b/>
                <w:color w:val="000000"/>
                <w:sz w:val="22"/>
                <w:szCs w:val="22"/>
              </w:rPr>
            </w:pPr>
            <w:r w:rsidRPr="00271D80">
              <w:rPr>
                <w:rFonts w:eastAsia="Times New Roman" w:cs="Times New Roman"/>
                <w:b/>
                <w:color w:val="000000"/>
                <w:sz w:val="22"/>
                <w:szCs w:val="22"/>
              </w:rPr>
              <w:t>Neighborhood Names</w:t>
            </w:r>
            <w:r>
              <w:rPr>
                <w:rFonts w:eastAsia="Times New Roman" w:cs="Times New Roman"/>
                <w:b/>
                <w:color w:val="000000"/>
                <w:sz w:val="22"/>
                <w:szCs w:val="22"/>
              </w:rPr>
              <w:t xml:space="preserve"> (Borough)</w:t>
            </w:r>
          </w:p>
        </w:tc>
        <w:tc>
          <w:tcPr>
            <w:tcW w:w="1610" w:type="dxa"/>
            <w:gridSpan w:val="2"/>
            <w:tcBorders>
              <w:top w:val="nil"/>
              <w:left w:val="nil"/>
              <w:bottom w:val="single" w:sz="4" w:space="0" w:color="auto"/>
              <w:right w:val="nil"/>
            </w:tcBorders>
            <w:shd w:val="clear" w:color="auto" w:fill="auto"/>
            <w:noWrap/>
            <w:vAlign w:val="bottom"/>
            <w:hideMark/>
          </w:tcPr>
          <w:p w14:paraId="65059243" w14:textId="3AB51A5E" w:rsidR="00271D80" w:rsidRPr="00271D80" w:rsidRDefault="00271D80" w:rsidP="00271D80">
            <w:pPr>
              <w:spacing w:line="240" w:lineRule="auto"/>
              <w:rPr>
                <w:rFonts w:eastAsia="Times New Roman" w:cs="Times New Roman"/>
                <w:b/>
                <w:color w:val="000000"/>
                <w:sz w:val="22"/>
                <w:szCs w:val="22"/>
              </w:rPr>
            </w:pPr>
            <w:r w:rsidRPr="00271D80">
              <w:rPr>
                <w:rFonts w:eastAsia="Times New Roman" w:cs="Times New Roman"/>
                <w:b/>
                <w:color w:val="000000"/>
                <w:sz w:val="22"/>
                <w:szCs w:val="22"/>
              </w:rPr>
              <w:t>Index Increase</w:t>
            </w:r>
          </w:p>
        </w:tc>
      </w:tr>
      <w:tr w:rsidR="00271D80" w:rsidRPr="00271D80" w14:paraId="362F2E18" w14:textId="77777777" w:rsidTr="00271D80">
        <w:trPr>
          <w:gridAfter w:val="1"/>
          <w:wAfter w:w="90" w:type="dxa"/>
          <w:trHeight w:val="300"/>
          <w:jc w:val="center"/>
        </w:trPr>
        <w:tc>
          <w:tcPr>
            <w:tcW w:w="6040" w:type="dxa"/>
            <w:tcBorders>
              <w:top w:val="nil"/>
              <w:left w:val="nil"/>
              <w:bottom w:val="nil"/>
              <w:right w:val="nil"/>
            </w:tcBorders>
            <w:shd w:val="clear" w:color="auto" w:fill="auto"/>
            <w:noWrap/>
            <w:vAlign w:val="bottom"/>
            <w:hideMark/>
          </w:tcPr>
          <w:p w14:paraId="36D03094" w14:textId="77777777" w:rsidR="00271D80" w:rsidRPr="00271D80" w:rsidRDefault="00271D80" w:rsidP="00271D80">
            <w:pPr>
              <w:spacing w:line="240" w:lineRule="auto"/>
              <w:rPr>
                <w:rFonts w:eastAsia="Times New Roman" w:cs="Times New Roman"/>
                <w:color w:val="000000"/>
                <w:sz w:val="22"/>
                <w:szCs w:val="22"/>
              </w:rPr>
            </w:pPr>
            <w:r w:rsidRPr="00271D80">
              <w:rPr>
                <w:rFonts w:eastAsia="Times New Roman" w:cs="Times New Roman"/>
                <w:color w:val="000000"/>
                <w:sz w:val="22"/>
                <w:szCs w:val="22"/>
              </w:rPr>
              <w:t>Hamilton Heights, Manhattanville &amp; West Harlem (Manhattan)</w:t>
            </w:r>
          </w:p>
        </w:tc>
        <w:tc>
          <w:tcPr>
            <w:tcW w:w="1520" w:type="dxa"/>
            <w:tcBorders>
              <w:top w:val="nil"/>
              <w:left w:val="nil"/>
              <w:bottom w:val="nil"/>
              <w:right w:val="nil"/>
            </w:tcBorders>
            <w:shd w:val="clear" w:color="auto" w:fill="auto"/>
            <w:noWrap/>
            <w:vAlign w:val="bottom"/>
            <w:hideMark/>
          </w:tcPr>
          <w:p w14:paraId="6BE4737B" w14:textId="77777777" w:rsidR="00271D80" w:rsidRPr="00271D80" w:rsidRDefault="00271D80" w:rsidP="00271D80">
            <w:pPr>
              <w:spacing w:line="240" w:lineRule="auto"/>
              <w:jc w:val="right"/>
              <w:rPr>
                <w:rFonts w:eastAsia="Times New Roman" w:cs="Times New Roman"/>
                <w:color w:val="000000"/>
                <w:sz w:val="22"/>
                <w:szCs w:val="22"/>
              </w:rPr>
            </w:pPr>
            <w:r w:rsidRPr="00271D80">
              <w:rPr>
                <w:rFonts w:eastAsia="Times New Roman" w:cs="Times New Roman"/>
                <w:color w:val="000000"/>
                <w:sz w:val="22"/>
                <w:szCs w:val="22"/>
              </w:rPr>
              <w:t>0.76</w:t>
            </w:r>
          </w:p>
        </w:tc>
      </w:tr>
      <w:tr w:rsidR="00271D80" w:rsidRPr="00271D80" w14:paraId="6C9175D6" w14:textId="77777777" w:rsidTr="00271D80">
        <w:trPr>
          <w:gridAfter w:val="1"/>
          <w:wAfter w:w="90" w:type="dxa"/>
          <w:trHeight w:val="300"/>
          <w:jc w:val="center"/>
        </w:trPr>
        <w:tc>
          <w:tcPr>
            <w:tcW w:w="6040" w:type="dxa"/>
            <w:tcBorders>
              <w:top w:val="nil"/>
              <w:left w:val="nil"/>
              <w:bottom w:val="nil"/>
              <w:right w:val="nil"/>
            </w:tcBorders>
            <w:shd w:val="clear" w:color="auto" w:fill="auto"/>
            <w:noWrap/>
            <w:vAlign w:val="bottom"/>
            <w:hideMark/>
          </w:tcPr>
          <w:p w14:paraId="4B0824A9" w14:textId="77777777" w:rsidR="00271D80" w:rsidRPr="00271D80" w:rsidRDefault="00271D80" w:rsidP="00271D80">
            <w:pPr>
              <w:spacing w:line="240" w:lineRule="auto"/>
              <w:rPr>
                <w:rFonts w:eastAsia="Times New Roman" w:cs="Times New Roman"/>
                <w:color w:val="000000"/>
                <w:sz w:val="22"/>
                <w:szCs w:val="22"/>
              </w:rPr>
            </w:pPr>
            <w:r w:rsidRPr="00271D80">
              <w:rPr>
                <w:rFonts w:eastAsia="Times New Roman" w:cs="Times New Roman"/>
                <w:color w:val="000000"/>
                <w:sz w:val="22"/>
                <w:szCs w:val="22"/>
              </w:rPr>
              <w:t>Hunts Point, Longwood &amp; Melrose (Bronx)</w:t>
            </w:r>
          </w:p>
        </w:tc>
        <w:tc>
          <w:tcPr>
            <w:tcW w:w="1520" w:type="dxa"/>
            <w:tcBorders>
              <w:top w:val="nil"/>
              <w:left w:val="nil"/>
              <w:bottom w:val="nil"/>
              <w:right w:val="nil"/>
            </w:tcBorders>
            <w:shd w:val="clear" w:color="auto" w:fill="auto"/>
            <w:noWrap/>
            <w:vAlign w:val="bottom"/>
            <w:hideMark/>
          </w:tcPr>
          <w:p w14:paraId="12734E59" w14:textId="77777777" w:rsidR="00271D80" w:rsidRPr="00271D80" w:rsidRDefault="00271D80" w:rsidP="00271D80">
            <w:pPr>
              <w:spacing w:line="240" w:lineRule="auto"/>
              <w:jc w:val="right"/>
              <w:rPr>
                <w:rFonts w:eastAsia="Times New Roman" w:cs="Times New Roman"/>
                <w:color w:val="000000"/>
                <w:sz w:val="22"/>
                <w:szCs w:val="22"/>
              </w:rPr>
            </w:pPr>
            <w:r w:rsidRPr="00271D80">
              <w:rPr>
                <w:rFonts w:eastAsia="Times New Roman" w:cs="Times New Roman"/>
                <w:color w:val="000000"/>
                <w:sz w:val="22"/>
                <w:szCs w:val="22"/>
              </w:rPr>
              <w:t>0.59</w:t>
            </w:r>
          </w:p>
        </w:tc>
      </w:tr>
      <w:tr w:rsidR="00271D80" w:rsidRPr="00271D80" w14:paraId="7D1EEE41" w14:textId="77777777" w:rsidTr="00271D80">
        <w:trPr>
          <w:gridAfter w:val="1"/>
          <w:wAfter w:w="90" w:type="dxa"/>
          <w:trHeight w:val="300"/>
          <w:jc w:val="center"/>
        </w:trPr>
        <w:tc>
          <w:tcPr>
            <w:tcW w:w="6040" w:type="dxa"/>
            <w:tcBorders>
              <w:top w:val="nil"/>
              <w:left w:val="nil"/>
              <w:bottom w:val="nil"/>
              <w:right w:val="nil"/>
            </w:tcBorders>
            <w:shd w:val="clear" w:color="auto" w:fill="auto"/>
            <w:noWrap/>
            <w:vAlign w:val="bottom"/>
            <w:hideMark/>
          </w:tcPr>
          <w:p w14:paraId="236273DA" w14:textId="77777777" w:rsidR="00271D80" w:rsidRPr="00271D80" w:rsidRDefault="00271D80" w:rsidP="00271D80">
            <w:pPr>
              <w:spacing w:line="240" w:lineRule="auto"/>
              <w:rPr>
                <w:rFonts w:eastAsia="Times New Roman" w:cs="Times New Roman"/>
                <w:color w:val="000000"/>
                <w:sz w:val="22"/>
                <w:szCs w:val="22"/>
              </w:rPr>
            </w:pPr>
            <w:r w:rsidRPr="00271D80">
              <w:rPr>
                <w:rFonts w:eastAsia="Times New Roman" w:cs="Times New Roman"/>
                <w:color w:val="000000"/>
                <w:sz w:val="22"/>
                <w:szCs w:val="22"/>
              </w:rPr>
              <w:t>Morris Heights, Fordham South &amp; Mount Hope (Bronx)</w:t>
            </w:r>
          </w:p>
        </w:tc>
        <w:tc>
          <w:tcPr>
            <w:tcW w:w="1520" w:type="dxa"/>
            <w:tcBorders>
              <w:top w:val="nil"/>
              <w:left w:val="nil"/>
              <w:bottom w:val="nil"/>
              <w:right w:val="nil"/>
            </w:tcBorders>
            <w:shd w:val="clear" w:color="auto" w:fill="auto"/>
            <w:noWrap/>
            <w:vAlign w:val="bottom"/>
            <w:hideMark/>
          </w:tcPr>
          <w:p w14:paraId="13033542" w14:textId="77777777" w:rsidR="00271D80" w:rsidRPr="00271D80" w:rsidRDefault="00271D80" w:rsidP="00271D80">
            <w:pPr>
              <w:spacing w:line="240" w:lineRule="auto"/>
              <w:jc w:val="right"/>
              <w:rPr>
                <w:rFonts w:eastAsia="Times New Roman" w:cs="Times New Roman"/>
                <w:color w:val="000000"/>
                <w:sz w:val="22"/>
                <w:szCs w:val="22"/>
              </w:rPr>
            </w:pPr>
            <w:r w:rsidRPr="00271D80">
              <w:rPr>
                <w:rFonts w:eastAsia="Times New Roman" w:cs="Times New Roman"/>
                <w:color w:val="000000"/>
                <w:sz w:val="22"/>
                <w:szCs w:val="22"/>
              </w:rPr>
              <w:t>0.44</w:t>
            </w:r>
          </w:p>
        </w:tc>
      </w:tr>
      <w:tr w:rsidR="00271D80" w:rsidRPr="00271D80" w14:paraId="784020BD" w14:textId="77777777" w:rsidTr="00271D80">
        <w:trPr>
          <w:gridAfter w:val="1"/>
          <w:wAfter w:w="90" w:type="dxa"/>
          <w:trHeight w:val="300"/>
          <w:jc w:val="center"/>
        </w:trPr>
        <w:tc>
          <w:tcPr>
            <w:tcW w:w="6040" w:type="dxa"/>
            <w:tcBorders>
              <w:top w:val="nil"/>
              <w:left w:val="nil"/>
              <w:bottom w:val="nil"/>
              <w:right w:val="nil"/>
            </w:tcBorders>
            <w:shd w:val="clear" w:color="auto" w:fill="auto"/>
            <w:noWrap/>
            <w:vAlign w:val="bottom"/>
            <w:hideMark/>
          </w:tcPr>
          <w:p w14:paraId="26A7262E" w14:textId="77777777" w:rsidR="00271D80" w:rsidRPr="00271D80" w:rsidRDefault="00271D80" w:rsidP="00271D80">
            <w:pPr>
              <w:spacing w:line="240" w:lineRule="auto"/>
              <w:rPr>
                <w:rFonts w:eastAsia="Times New Roman" w:cs="Times New Roman"/>
                <w:color w:val="000000"/>
                <w:sz w:val="22"/>
                <w:szCs w:val="22"/>
              </w:rPr>
            </w:pPr>
            <w:r w:rsidRPr="00271D80">
              <w:rPr>
                <w:rFonts w:eastAsia="Times New Roman" w:cs="Times New Roman"/>
                <w:color w:val="000000"/>
                <w:sz w:val="22"/>
                <w:szCs w:val="22"/>
              </w:rPr>
              <w:t>Greenpoint &amp; Williamsburg (Brooklyn)</w:t>
            </w:r>
          </w:p>
        </w:tc>
        <w:tc>
          <w:tcPr>
            <w:tcW w:w="1520" w:type="dxa"/>
            <w:tcBorders>
              <w:top w:val="nil"/>
              <w:left w:val="nil"/>
              <w:bottom w:val="nil"/>
              <w:right w:val="nil"/>
            </w:tcBorders>
            <w:shd w:val="clear" w:color="auto" w:fill="auto"/>
            <w:noWrap/>
            <w:vAlign w:val="bottom"/>
            <w:hideMark/>
          </w:tcPr>
          <w:p w14:paraId="75708235" w14:textId="77777777" w:rsidR="00271D80" w:rsidRPr="00271D80" w:rsidRDefault="00271D80" w:rsidP="00271D80">
            <w:pPr>
              <w:spacing w:line="240" w:lineRule="auto"/>
              <w:jc w:val="right"/>
              <w:rPr>
                <w:rFonts w:eastAsia="Times New Roman" w:cs="Times New Roman"/>
                <w:color w:val="000000"/>
                <w:sz w:val="22"/>
                <w:szCs w:val="22"/>
              </w:rPr>
            </w:pPr>
            <w:r w:rsidRPr="00271D80">
              <w:rPr>
                <w:rFonts w:eastAsia="Times New Roman" w:cs="Times New Roman"/>
                <w:color w:val="000000"/>
                <w:sz w:val="22"/>
                <w:szCs w:val="22"/>
              </w:rPr>
              <w:t>0.42</w:t>
            </w:r>
          </w:p>
        </w:tc>
      </w:tr>
      <w:tr w:rsidR="00271D80" w:rsidRPr="00271D80" w14:paraId="47328FC3" w14:textId="77777777" w:rsidTr="00271D80">
        <w:trPr>
          <w:gridAfter w:val="1"/>
          <w:wAfter w:w="90" w:type="dxa"/>
          <w:trHeight w:val="300"/>
          <w:jc w:val="center"/>
        </w:trPr>
        <w:tc>
          <w:tcPr>
            <w:tcW w:w="6040" w:type="dxa"/>
            <w:tcBorders>
              <w:top w:val="nil"/>
              <w:left w:val="nil"/>
              <w:bottom w:val="nil"/>
              <w:right w:val="nil"/>
            </w:tcBorders>
            <w:shd w:val="clear" w:color="auto" w:fill="auto"/>
            <w:noWrap/>
            <w:vAlign w:val="bottom"/>
            <w:hideMark/>
          </w:tcPr>
          <w:p w14:paraId="4F34EBAB" w14:textId="77777777" w:rsidR="00271D80" w:rsidRPr="00271D80" w:rsidRDefault="00271D80" w:rsidP="00271D80">
            <w:pPr>
              <w:spacing w:line="240" w:lineRule="auto"/>
              <w:rPr>
                <w:rFonts w:eastAsia="Times New Roman" w:cs="Times New Roman"/>
                <w:color w:val="000000"/>
                <w:sz w:val="22"/>
                <w:szCs w:val="22"/>
              </w:rPr>
            </w:pPr>
            <w:r w:rsidRPr="00271D80">
              <w:rPr>
                <w:rFonts w:eastAsia="Times New Roman" w:cs="Times New Roman"/>
                <w:color w:val="000000"/>
                <w:sz w:val="22"/>
                <w:szCs w:val="22"/>
              </w:rPr>
              <w:t>Brooklyn Heights &amp; Fort Greene (Brooklyn)</w:t>
            </w:r>
          </w:p>
        </w:tc>
        <w:tc>
          <w:tcPr>
            <w:tcW w:w="1520" w:type="dxa"/>
            <w:tcBorders>
              <w:top w:val="nil"/>
              <w:left w:val="nil"/>
              <w:bottom w:val="nil"/>
              <w:right w:val="nil"/>
            </w:tcBorders>
            <w:shd w:val="clear" w:color="auto" w:fill="auto"/>
            <w:noWrap/>
            <w:vAlign w:val="bottom"/>
            <w:hideMark/>
          </w:tcPr>
          <w:p w14:paraId="3C41E673" w14:textId="77777777" w:rsidR="00271D80" w:rsidRPr="00271D80" w:rsidRDefault="00271D80" w:rsidP="00271D80">
            <w:pPr>
              <w:spacing w:line="240" w:lineRule="auto"/>
              <w:jc w:val="right"/>
              <w:rPr>
                <w:rFonts w:eastAsia="Times New Roman" w:cs="Times New Roman"/>
                <w:color w:val="000000"/>
                <w:sz w:val="22"/>
                <w:szCs w:val="22"/>
              </w:rPr>
            </w:pPr>
            <w:r w:rsidRPr="00271D80">
              <w:rPr>
                <w:rFonts w:eastAsia="Times New Roman" w:cs="Times New Roman"/>
                <w:color w:val="000000"/>
                <w:sz w:val="22"/>
                <w:szCs w:val="22"/>
              </w:rPr>
              <w:t>0.34</w:t>
            </w:r>
          </w:p>
        </w:tc>
      </w:tr>
      <w:tr w:rsidR="00271D80" w:rsidRPr="00271D80" w14:paraId="2338D7F4" w14:textId="77777777" w:rsidTr="00271D80">
        <w:trPr>
          <w:gridAfter w:val="1"/>
          <w:wAfter w:w="90" w:type="dxa"/>
          <w:trHeight w:val="300"/>
          <w:jc w:val="center"/>
        </w:trPr>
        <w:tc>
          <w:tcPr>
            <w:tcW w:w="6040" w:type="dxa"/>
            <w:tcBorders>
              <w:top w:val="nil"/>
              <w:left w:val="nil"/>
              <w:bottom w:val="nil"/>
              <w:right w:val="nil"/>
            </w:tcBorders>
            <w:shd w:val="clear" w:color="auto" w:fill="auto"/>
            <w:noWrap/>
            <w:vAlign w:val="bottom"/>
            <w:hideMark/>
          </w:tcPr>
          <w:p w14:paraId="79C1F857" w14:textId="77777777" w:rsidR="00271D80" w:rsidRPr="00271D80" w:rsidRDefault="00271D80" w:rsidP="00271D80">
            <w:pPr>
              <w:spacing w:line="240" w:lineRule="auto"/>
              <w:rPr>
                <w:rFonts w:eastAsia="Times New Roman" w:cs="Times New Roman"/>
                <w:color w:val="000000"/>
                <w:sz w:val="22"/>
                <w:szCs w:val="22"/>
              </w:rPr>
            </w:pPr>
            <w:r w:rsidRPr="00271D80">
              <w:rPr>
                <w:rFonts w:eastAsia="Times New Roman" w:cs="Times New Roman"/>
                <w:color w:val="000000"/>
                <w:sz w:val="22"/>
                <w:szCs w:val="22"/>
              </w:rPr>
              <w:t>Bedford-Stuyvesant (Brooklyn)</w:t>
            </w:r>
          </w:p>
        </w:tc>
        <w:tc>
          <w:tcPr>
            <w:tcW w:w="1520" w:type="dxa"/>
            <w:tcBorders>
              <w:top w:val="nil"/>
              <w:left w:val="nil"/>
              <w:bottom w:val="nil"/>
              <w:right w:val="nil"/>
            </w:tcBorders>
            <w:shd w:val="clear" w:color="auto" w:fill="auto"/>
            <w:noWrap/>
            <w:vAlign w:val="bottom"/>
            <w:hideMark/>
          </w:tcPr>
          <w:p w14:paraId="21610CE8" w14:textId="77777777" w:rsidR="00271D80" w:rsidRPr="00271D80" w:rsidRDefault="00271D80" w:rsidP="00271D80">
            <w:pPr>
              <w:spacing w:line="240" w:lineRule="auto"/>
              <w:jc w:val="right"/>
              <w:rPr>
                <w:rFonts w:eastAsia="Times New Roman" w:cs="Times New Roman"/>
                <w:color w:val="000000"/>
                <w:sz w:val="22"/>
                <w:szCs w:val="22"/>
              </w:rPr>
            </w:pPr>
            <w:r w:rsidRPr="00271D80">
              <w:rPr>
                <w:rFonts w:eastAsia="Times New Roman" w:cs="Times New Roman"/>
                <w:color w:val="000000"/>
                <w:sz w:val="22"/>
                <w:szCs w:val="22"/>
              </w:rPr>
              <w:t>0.29</w:t>
            </w:r>
          </w:p>
        </w:tc>
      </w:tr>
      <w:tr w:rsidR="00271D80" w:rsidRPr="00271D80" w14:paraId="455079BE" w14:textId="77777777" w:rsidTr="00271D80">
        <w:trPr>
          <w:gridAfter w:val="1"/>
          <w:wAfter w:w="90" w:type="dxa"/>
          <w:trHeight w:val="300"/>
          <w:jc w:val="center"/>
        </w:trPr>
        <w:tc>
          <w:tcPr>
            <w:tcW w:w="6040" w:type="dxa"/>
            <w:tcBorders>
              <w:top w:val="nil"/>
              <w:left w:val="nil"/>
              <w:bottom w:val="nil"/>
              <w:right w:val="nil"/>
            </w:tcBorders>
            <w:shd w:val="clear" w:color="auto" w:fill="auto"/>
            <w:noWrap/>
            <w:vAlign w:val="bottom"/>
            <w:hideMark/>
          </w:tcPr>
          <w:p w14:paraId="56C183E8" w14:textId="77777777" w:rsidR="00271D80" w:rsidRPr="00271D80" w:rsidRDefault="00271D80" w:rsidP="00271D80">
            <w:pPr>
              <w:spacing w:line="240" w:lineRule="auto"/>
              <w:rPr>
                <w:rFonts w:eastAsia="Times New Roman" w:cs="Times New Roman"/>
                <w:color w:val="000000"/>
                <w:sz w:val="22"/>
                <w:szCs w:val="22"/>
              </w:rPr>
            </w:pPr>
            <w:r w:rsidRPr="00271D80">
              <w:rPr>
                <w:rFonts w:eastAsia="Times New Roman" w:cs="Times New Roman"/>
                <w:color w:val="000000"/>
                <w:sz w:val="22"/>
                <w:szCs w:val="22"/>
              </w:rPr>
              <w:t>Co-op City, Pelham Bay &amp; Schuylerville (Bronx)</w:t>
            </w:r>
          </w:p>
        </w:tc>
        <w:tc>
          <w:tcPr>
            <w:tcW w:w="1520" w:type="dxa"/>
            <w:tcBorders>
              <w:top w:val="nil"/>
              <w:left w:val="nil"/>
              <w:bottom w:val="nil"/>
              <w:right w:val="nil"/>
            </w:tcBorders>
            <w:shd w:val="clear" w:color="auto" w:fill="auto"/>
            <w:noWrap/>
            <w:vAlign w:val="bottom"/>
            <w:hideMark/>
          </w:tcPr>
          <w:p w14:paraId="58EE3412" w14:textId="77777777" w:rsidR="00271D80" w:rsidRPr="00271D80" w:rsidRDefault="00271D80" w:rsidP="00271D80">
            <w:pPr>
              <w:spacing w:line="240" w:lineRule="auto"/>
              <w:jc w:val="right"/>
              <w:rPr>
                <w:rFonts w:eastAsia="Times New Roman" w:cs="Times New Roman"/>
                <w:color w:val="000000"/>
                <w:sz w:val="22"/>
                <w:szCs w:val="22"/>
              </w:rPr>
            </w:pPr>
            <w:r w:rsidRPr="00271D80">
              <w:rPr>
                <w:rFonts w:eastAsia="Times New Roman" w:cs="Times New Roman"/>
                <w:color w:val="000000"/>
                <w:sz w:val="22"/>
                <w:szCs w:val="22"/>
              </w:rPr>
              <w:t>0.29</w:t>
            </w:r>
          </w:p>
        </w:tc>
      </w:tr>
    </w:tbl>
    <w:p w14:paraId="479808A7" w14:textId="77777777" w:rsidR="0027075E" w:rsidRPr="00271D80" w:rsidRDefault="0027075E" w:rsidP="0027075E">
      <w:pPr>
        <w:spacing w:line="240" w:lineRule="auto"/>
        <w:rPr>
          <w:rFonts w:cs="Times New Roman"/>
          <w:b/>
        </w:rPr>
      </w:pPr>
    </w:p>
    <w:p w14:paraId="1806A40A" w14:textId="533C8413" w:rsidR="00CB4C15" w:rsidRDefault="00EC17F2" w:rsidP="00EC17F2">
      <w:pPr>
        <w:pStyle w:val="ListParagraph"/>
        <w:ind w:left="0" w:firstLine="720"/>
        <w:rPr>
          <w:rFonts w:cs="Times New Roman"/>
        </w:rPr>
      </w:pPr>
      <w:r>
        <w:rPr>
          <w:rFonts w:cs="Times New Roman"/>
        </w:rPr>
        <w:t xml:space="preserve">While these initial results conform to my expectations regarding gentrifying neighborhoods in New York City, the index measure is a crude approximation and may not capture important nuances between different component variables. To incorporate more variability into this characterization, I performed k-means clustering </w:t>
      </w:r>
      <w:r w:rsidR="008020E5">
        <w:rPr>
          <w:rFonts w:cs="Times New Roman"/>
        </w:rPr>
        <w:t xml:space="preserve">(k=5) </w:t>
      </w:r>
      <w:r>
        <w:rPr>
          <w:rFonts w:cs="Times New Roman"/>
        </w:rPr>
        <w:t xml:space="preserve">using all </w:t>
      </w:r>
      <w:r w:rsidR="00B16F69">
        <w:rPr>
          <w:rFonts w:cs="Times New Roman"/>
        </w:rPr>
        <w:t>eight</w:t>
      </w:r>
      <w:r>
        <w:rPr>
          <w:rFonts w:cs="Times New Roman"/>
        </w:rPr>
        <w:t xml:space="preserve"> differenced</w:t>
      </w:r>
      <w:r w:rsidR="008020E5">
        <w:rPr>
          <w:rFonts w:cs="Times New Roman"/>
        </w:rPr>
        <w:t xml:space="preserve"> variables</w:t>
      </w:r>
      <w:r>
        <w:rPr>
          <w:rFonts w:cs="Times New Roman"/>
        </w:rPr>
        <w:t xml:space="preserve">. Though the output of the k-means algorithm </w:t>
      </w:r>
      <w:r w:rsidR="00B27C31">
        <w:rPr>
          <w:rFonts w:cs="Times New Roman"/>
        </w:rPr>
        <w:t>is not deterministic</w:t>
      </w:r>
      <w:r>
        <w:rPr>
          <w:rFonts w:cs="Times New Roman"/>
        </w:rPr>
        <w:t xml:space="preserve"> due to its random initialization, </w:t>
      </w:r>
      <w:r w:rsidR="00B27C31">
        <w:rPr>
          <w:rFonts w:cs="Times New Roman"/>
        </w:rPr>
        <w:t>the results were surprisingly consistent over a number of repetitions.</w:t>
      </w:r>
      <w:r w:rsidR="0055355A">
        <w:rPr>
          <w:rFonts w:cs="Times New Roman"/>
        </w:rPr>
        <w:t xml:space="preserve"> </w:t>
      </w:r>
    </w:p>
    <w:p w14:paraId="4E23C7B1" w14:textId="6C2FF0D5" w:rsidR="00EC17F2" w:rsidRDefault="008020E5" w:rsidP="00EC17F2">
      <w:pPr>
        <w:pStyle w:val="ListParagraph"/>
        <w:ind w:left="0" w:firstLine="720"/>
        <w:rPr>
          <w:rFonts w:cs="Times New Roman"/>
        </w:rPr>
      </w:pPr>
      <w:r>
        <w:rPr>
          <w:rFonts w:cs="Times New Roman"/>
        </w:rPr>
        <w:t xml:space="preserve">West Harlem, Hunts Point, and Morris Heights consistently made up a single cluster. The centroid corresponding to this cluster was characterized by </w:t>
      </w:r>
      <w:r w:rsidR="00BE1A03">
        <w:rPr>
          <w:rFonts w:cs="Times New Roman"/>
        </w:rPr>
        <w:t xml:space="preserve">the highest index increase as well as </w:t>
      </w:r>
      <w:r>
        <w:rPr>
          <w:rFonts w:cs="Times New Roman"/>
        </w:rPr>
        <w:t>a large d</w:t>
      </w:r>
      <w:r w:rsidR="00CB4C15">
        <w:rPr>
          <w:rFonts w:cs="Times New Roman"/>
        </w:rPr>
        <w:t>ifference in median home v</w:t>
      </w:r>
      <w:r w:rsidR="00BE1A03">
        <w:rPr>
          <w:rFonts w:cs="Times New Roman"/>
        </w:rPr>
        <w:t xml:space="preserve">alues and </w:t>
      </w:r>
      <w:r>
        <w:rPr>
          <w:rFonts w:cs="Times New Roman"/>
        </w:rPr>
        <w:t xml:space="preserve">substantial increases in </w:t>
      </w:r>
      <w:r w:rsidR="00CB4C15">
        <w:rPr>
          <w:rFonts w:cs="Times New Roman"/>
        </w:rPr>
        <w:t>median household i</w:t>
      </w:r>
      <w:r>
        <w:rPr>
          <w:rFonts w:cs="Times New Roman"/>
        </w:rPr>
        <w:t xml:space="preserve">ncome and the adult population under thirty-five. </w:t>
      </w:r>
      <w:r w:rsidR="00BE1A03">
        <w:rPr>
          <w:rFonts w:cs="Times New Roman"/>
        </w:rPr>
        <w:t xml:space="preserve">The cluster with the next highest gentrification index increase was slightly more variable but most often included Williamsburg, Bedford-Stuyvesant, Brooklyn Heights, Crown Heights, and Astoria. These neighborhoods (mostly in Brooklyn and </w:t>
      </w:r>
      <w:r w:rsidR="00BE1A03">
        <w:rPr>
          <w:rFonts w:cs="Times New Roman"/>
        </w:rPr>
        <w:lastRenderedPageBreak/>
        <w:t xml:space="preserve">west Queens) </w:t>
      </w:r>
      <w:r w:rsidR="00CB4C15">
        <w:rPr>
          <w:rFonts w:cs="Times New Roman"/>
        </w:rPr>
        <w:t xml:space="preserve">had noticeable increases across the board, but particularly in residential mobility, occupational prestige, percentage of adults under thirty-five and percentage of white residents. At the other end of the spectrum, most of Manhattan (south of Harlem) was a single cluster characterized by declining property values and </w:t>
      </w:r>
      <w:r w:rsidR="00450853">
        <w:rPr>
          <w:rFonts w:cs="Times New Roman"/>
        </w:rPr>
        <w:t xml:space="preserve">decreasing </w:t>
      </w:r>
      <w:r w:rsidR="00CB4C15">
        <w:rPr>
          <w:rFonts w:cs="Times New Roman"/>
        </w:rPr>
        <w:t>percentage of white residents. The final two clusters encompassed the neighborhoods that saw very little change and were not consistently well-defined.</w:t>
      </w:r>
    </w:p>
    <w:p w14:paraId="1739BA6D" w14:textId="64CBC05B" w:rsidR="001D40F6" w:rsidRPr="001D40F6" w:rsidRDefault="00E7091E" w:rsidP="001D40F6">
      <w:pPr>
        <w:pStyle w:val="Heading1"/>
      </w:pPr>
      <w:r>
        <w:t>D</w:t>
      </w:r>
      <w:r w:rsidR="00771177">
        <w:t>iscussion</w:t>
      </w:r>
    </w:p>
    <w:p w14:paraId="1301AF5C" w14:textId="18FA3655" w:rsidR="00FD0013" w:rsidRDefault="00FD0013" w:rsidP="003B2600">
      <w:pPr>
        <w:ind w:firstLine="720"/>
      </w:pPr>
      <w:r>
        <w:t xml:space="preserve">Although it was very simple, the composite gentrification index was a good measure of gentrification. </w:t>
      </w:r>
      <w:r w:rsidR="00F0481C">
        <w:t>T</w:t>
      </w:r>
      <w:r>
        <w:t>here is no objective “ground-truth” about socially constructed phenomena such as gentrification,</w:t>
      </w:r>
      <w:r w:rsidR="00F0481C">
        <w:t xml:space="preserve"> but the literature confirmed</w:t>
      </w:r>
      <w:r>
        <w:t xml:space="preserve"> that the identified neighborhoods are recognized by other scholars as undergoing gentrification. In particular it is a validation of the work pioneered by Hammel and Wyly, and continued by Clemmer, to organize and catalogue demographic indicators of gentrification. Though none of those authors </w:t>
      </w:r>
      <w:r w:rsidR="00D872CC">
        <w:t>had based their work on studies of</w:t>
      </w:r>
      <w:r>
        <w:t xml:space="preserve"> New York City, the variables they </w:t>
      </w:r>
      <w:r w:rsidR="00D872CC">
        <w:t>reported were successful in identifying gentrification in NYC.</w:t>
      </w:r>
      <w:r w:rsidR="00E076FE">
        <w:t xml:space="preserve"> This suggests that while gentrification may have different flavors in different regions, the general socio-demographic profile is similar everywhere.</w:t>
      </w:r>
    </w:p>
    <w:p w14:paraId="06A17F99" w14:textId="45702C6B" w:rsidR="003B2600" w:rsidRDefault="007B6EDB" w:rsidP="00085B78">
      <w:pPr>
        <w:ind w:firstLine="720"/>
      </w:pPr>
      <w:r>
        <w:t>The cluster analysis lends some support to theories of multi-stage gentrification processes and offers a characterization of two stages. The first cluster was primarily defined by sharply rising home values in West Harlem and the Bronx. The process in these neighborhoods could be classified as “emerging gentrification.” A likely narrative is that savvy real estate developers begin buying plots in these neighborhoods, banking on their sharp increase in value once the neighborhood becomes gentrified.</w:t>
      </w:r>
      <w:r w:rsidR="00B307B4">
        <w:t xml:space="preserve"> Thus the beginning</w:t>
      </w:r>
      <w:r>
        <w:t xml:space="preserve"> </w:t>
      </w:r>
      <w:r w:rsidR="00B307B4">
        <w:t xml:space="preserve">of the process </w:t>
      </w:r>
      <w:r>
        <w:t xml:space="preserve">in </w:t>
      </w:r>
      <w:r w:rsidR="00B307B4">
        <w:t xml:space="preserve">the </w:t>
      </w:r>
      <w:r>
        <w:t xml:space="preserve">real estate </w:t>
      </w:r>
      <w:r w:rsidR="00B307B4">
        <w:t>market is reflected by sharp increases in home values and rent.</w:t>
      </w:r>
      <w:r w:rsidR="00B9280B">
        <w:t xml:space="preserve"> After developers renovate or build new </w:t>
      </w:r>
      <w:r w:rsidR="00B9280B">
        <w:lastRenderedPageBreak/>
        <w:t xml:space="preserve">units, middle-class gentrifiers arrive en masse, driving the population-based changes such as </w:t>
      </w:r>
      <w:r w:rsidR="00322AE0">
        <w:t xml:space="preserve">age, </w:t>
      </w:r>
      <w:r w:rsidR="00B9280B">
        <w:t>educational attainment and residential mobility that characterize the second cluster of later-stage gentrified neighborhoods in Brooklyn.</w:t>
      </w:r>
    </w:p>
    <w:p w14:paraId="450BCC00" w14:textId="760FB4BC" w:rsidR="00F43C34" w:rsidRDefault="00F43C34" w:rsidP="00F43C34">
      <w:pPr>
        <w:pStyle w:val="Heading1"/>
      </w:pPr>
      <w:r>
        <w:t>Conclusion</w:t>
      </w:r>
    </w:p>
    <w:p w14:paraId="709DF011" w14:textId="6DA97E9F" w:rsidR="00F43C34" w:rsidRDefault="00D4105B" w:rsidP="00F43C34">
      <w:pPr>
        <w:ind w:firstLine="720"/>
      </w:pPr>
      <w:r>
        <w:t>G</w:t>
      </w:r>
      <w:r w:rsidR="000079C2">
        <w:t xml:space="preserve">entrification </w:t>
      </w:r>
      <w:r>
        <w:t>is a complex process</w:t>
      </w:r>
      <w:r w:rsidR="000079C2">
        <w:t xml:space="preserve"> that </w:t>
      </w:r>
      <w:r w:rsidR="00572E3E">
        <w:t>can be identified, influenced and</w:t>
      </w:r>
      <w:r w:rsidR="000079C2">
        <w:t xml:space="preserve"> </w:t>
      </w:r>
      <w:r w:rsidR="00572E3E">
        <w:t xml:space="preserve">impacted </w:t>
      </w:r>
      <w:r w:rsidR="000079C2">
        <w:t xml:space="preserve">by a number of varied factors. </w:t>
      </w:r>
      <w:r w:rsidR="00B7631C">
        <w:t xml:space="preserve">The existing literature suggested some variables to use in identifying gentrifying neighborhoods, but there was no clear model or scheme on how to use these variables to predict the presence of gentrification. </w:t>
      </w:r>
      <w:r w:rsidR="00095CBA">
        <w:t xml:space="preserve">A simple composite index measure was sufficient to demonstrate that a few neighborhoods were changing rapidly, while many others were not changing at all. Furthermore, clustering on the overall trend in these variables revealed two distinct groups of gentrifying neighborhoods, which </w:t>
      </w:r>
      <w:r w:rsidR="00257144">
        <w:t>might</w:t>
      </w:r>
      <w:r w:rsidR="00095CBA">
        <w:t xml:space="preserve"> be characterized as “early-stage” and “late-stage” gentrification. These results confirmed that gentrification can be readily identified by measuring the change in a handful of publicly available demographic indices.</w:t>
      </w:r>
    </w:p>
    <w:p w14:paraId="18A14270" w14:textId="174B8C1D" w:rsidR="00C63F3B" w:rsidRDefault="00095CBA" w:rsidP="00D375EE">
      <w:pPr>
        <w:ind w:firstLine="720"/>
      </w:pPr>
      <w:r>
        <w:t xml:space="preserve">As gentrification continues to define more and more neighborhoods in the urban United States, it is important to understand </w:t>
      </w:r>
      <w:r w:rsidR="00257144">
        <w:t xml:space="preserve">and be able to quantify </w:t>
      </w:r>
      <w:r>
        <w:t xml:space="preserve">the process. </w:t>
      </w:r>
      <w:r w:rsidR="00065B02">
        <w:t>An objective evaluation of the impact of gentrification is vital to be able to hold state actors accountable when enacting policies that e</w:t>
      </w:r>
      <w:r w:rsidR="00257144">
        <w:t>ither promote or discourage it.</w:t>
      </w:r>
    </w:p>
    <w:p w14:paraId="7D7E927C" w14:textId="77777777" w:rsidR="00C63F3B" w:rsidRDefault="00C63F3B" w:rsidP="00C63F3B">
      <w:pPr>
        <w:pStyle w:val="Heading1"/>
      </w:pPr>
      <w:r>
        <w:t>References</w:t>
      </w:r>
    </w:p>
    <w:p w14:paraId="0AAAB086" w14:textId="77777777" w:rsidR="00C63F3B" w:rsidRDefault="00C63F3B" w:rsidP="00C63F3B">
      <w:pPr>
        <w:spacing w:line="240" w:lineRule="auto"/>
        <w:ind w:left="720" w:hanging="720"/>
        <w:rPr>
          <w:rFonts w:cs="Times New Roman"/>
        </w:rPr>
      </w:pPr>
      <w:r>
        <w:rPr>
          <w:rFonts w:cs="Times New Roman"/>
        </w:rPr>
        <w:t xml:space="preserve">Atkinson, R. (2000). Measuring Gentrification and Displacement in Greater London. </w:t>
      </w:r>
      <w:r>
        <w:rPr>
          <w:rFonts w:cs="Times New Roman"/>
          <w:i/>
        </w:rPr>
        <w:t>Urban Studies</w:t>
      </w:r>
      <w:r>
        <w:rPr>
          <w:rFonts w:cs="Times New Roman"/>
        </w:rPr>
        <w:t xml:space="preserve">, </w:t>
      </w:r>
      <w:r w:rsidRPr="00E16312">
        <w:rPr>
          <w:rFonts w:cs="Times New Roman"/>
          <w:i/>
        </w:rPr>
        <w:t>37</w:t>
      </w:r>
      <w:r>
        <w:rPr>
          <w:rFonts w:cs="Times New Roman"/>
        </w:rPr>
        <w:t>(1), 149-165.</w:t>
      </w:r>
    </w:p>
    <w:p w14:paraId="5142C724" w14:textId="77777777" w:rsidR="00C63F3B" w:rsidRPr="00E16312" w:rsidRDefault="00C63F3B" w:rsidP="00C63F3B">
      <w:pPr>
        <w:spacing w:line="240" w:lineRule="auto"/>
        <w:ind w:left="720" w:hanging="720"/>
        <w:rPr>
          <w:rFonts w:cs="Times New Roman"/>
        </w:rPr>
      </w:pPr>
    </w:p>
    <w:p w14:paraId="09DE8E57" w14:textId="77777777" w:rsidR="00C63F3B" w:rsidRPr="00E16312" w:rsidRDefault="00C63F3B" w:rsidP="00C63F3B">
      <w:pPr>
        <w:spacing w:line="240" w:lineRule="auto"/>
        <w:ind w:left="720" w:hanging="720"/>
        <w:rPr>
          <w:rFonts w:cs="Times New Roman"/>
        </w:rPr>
      </w:pPr>
      <w:r>
        <w:rPr>
          <w:rFonts w:cs="Times New Roman"/>
        </w:rPr>
        <w:t xml:space="preserve">Atkinson, R. (2004). The Evidence on the Impact of Gentrification: New Lessons for the Urban Renaissance? </w:t>
      </w:r>
      <w:r>
        <w:rPr>
          <w:rFonts w:cs="Times New Roman"/>
          <w:i/>
        </w:rPr>
        <w:t>European Journal of Housing Policy</w:t>
      </w:r>
      <w:r>
        <w:rPr>
          <w:rFonts w:cs="Times New Roman"/>
        </w:rPr>
        <w:t xml:space="preserve">. </w:t>
      </w:r>
      <w:r>
        <w:rPr>
          <w:rFonts w:cs="Times New Roman"/>
          <w:i/>
        </w:rPr>
        <w:t>4</w:t>
      </w:r>
      <w:r>
        <w:rPr>
          <w:rFonts w:cs="Times New Roman"/>
        </w:rPr>
        <w:t>(1). 107-131.</w:t>
      </w:r>
    </w:p>
    <w:p w14:paraId="3A07666A" w14:textId="77777777" w:rsidR="00C63F3B" w:rsidRDefault="00C63F3B" w:rsidP="00C63F3B">
      <w:pPr>
        <w:spacing w:line="240" w:lineRule="auto"/>
        <w:ind w:left="720" w:hanging="720"/>
        <w:rPr>
          <w:rFonts w:cs="Times New Roman"/>
        </w:rPr>
      </w:pPr>
    </w:p>
    <w:p w14:paraId="24C2D26C" w14:textId="3F977DEB" w:rsidR="00B27D5F" w:rsidRPr="00B27D5F" w:rsidRDefault="00B27D5F" w:rsidP="00C63F3B">
      <w:pPr>
        <w:spacing w:line="240" w:lineRule="auto"/>
        <w:ind w:left="720" w:hanging="720"/>
        <w:rPr>
          <w:rFonts w:cs="Times New Roman"/>
        </w:rPr>
      </w:pPr>
      <w:r>
        <w:rPr>
          <w:rFonts w:cs="Times New Roman"/>
        </w:rPr>
        <w:t>Barton, M. (2014). An Exploration of the Importance of the Strategy Used to I</w:t>
      </w:r>
      <w:r w:rsidRPr="00B27D5F">
        <w:rPr>
          <w:rFonts w:cs="Times New Roman"/>
        </w:rPr>
        <w:t xml:space="preserve">dentify </w:t>
      </w:r>
      <w:r>
        <w:rPr>
          <w:rFonts w:cs="Times New Roman"/>
        </w:rPr>
        <w:t>G</w:t>
      </w:r>
      <w:r w:rsidRPr="00B27D5F">
        <w:rPr>
          <w:rFonts w:cs="Times New Roman"/>
        </w:rPr>
        <w:t>entrification</w:t>
      </w:r>
      <w:r>
        <w:rPr>
          <w:rFonts w:cs="Times New Roman"/>
        </w:rPr>
        <w:t xml:space="preserve">. </w:t>
      </w:r>
      <w:r>
        <w:rPr>
          <w:rFonts w:cs="Times New Roman"/>
          <w:i/>
        </w:rPr>
        <w:t>Urban Studies</w:t>
      </w:r>
      <w:r>
        <w:rPr>
          <w:rFonts w:cs="Times New Roman"/>
        </w:rPr>
        <w:t xml:space="preserve">. </w:t>
      </w:r>
      <w:r>
        <w:rPr>
          <w:rFonts w:cs="Times New Roman"/>
          <w:i/>
        </w:rPr>
        <w:t>20</w:t>
      </w:r>
      <w:r>
        <w:rPr>
          <w:rFonts w:cs="Times New Roman"/>
        </w:rPr>
        <w:t xml:space="preserve">(1). </w:t>
      </w:r>
    </w:p>
    <w:p w14:paraId="610F4A01" w14:textId="77777777" w:rsidR="00B27D5F" w:rsidRDefault="00B27D5F" w:rsidP="00C63F3B">
      <w:pPr>
        <w:spacing w:line="240" w:lineRule="auto"/>
        <w:ind w:left="720" w:hanging="720"/>
        <w:rPr>
          <w:rFonts w:cs="Times New Roman"/>
        </w:rPr>
      </w:pPr>
    </w:p>
    <w:p w14:paraId="48F0BCEF" w14:textId="77777777" w:rsidR="00C63F3B" w:rsidRDefault="00C63F3B" w:rsidP="00C63F3B">
      <w:pPr>
        <w:spacing w:line="240" w:lineRule="auto"/>
        <w:ind w:left="720" w:hanging="720"/>
        <w:rPr>
          <w:rFonts w:cs="Times New Roman"/>
        </w:rPr>
      </w:pPr>
      <w:r>
        <w:rPr>
          <w:rFonts w:cs="Times New Roman"/>
        </w:rPr>
        <w:lastRenderedPageBreak/>
        <w:t xml:space="preserve">Cameron, S. (2003). </w:t>
      </w:r>
      <w:r w:rsidRPr="00E16312">
        <w:rPr>
          <w:rFonts w:cs="Times New Roman"/>
        </w:rPr>
        <w:t>Gentrification, Housing Redifferentiation and</w:t>
      </w:r>
      <w:r>
        <w:rPr>
          <w:rFonts w:cs="Times New Roman"/>
        </w:rPr>
        <w:t xml:space="preserve"> </w:t>
      </w:r>
      <w:r w:rsidRPr="00E16312">
        <w:rPr>
          <w:rFonts w:cs="Times New Roman"/>
        </w:rPr>
        <w:t>Urban Regeneration: ‘Going for Growth’ in</w:t>
      </w:r>
      <w:r>
        <w:rPr>
          <w:rFonts w:cs="Times New Roman"/>
        </w:rPr>
        <w:t xml:space="preserve"> </w:t>
      </w:r>
      <w:r w:rsidRPr="00E16312">
        <w:rPr>
          <w:rFonts w:cs="Times New Roman"/>
        </w:rPr>
        <w:t>Newcastle upon Tyne</w:t>
      </w:r>
      <w:r>
        <w:rPr>
          <w:rFonts w:cs="Times New Roman"/>
        </w:rPr>
        <w:t xml:space="preserve">. </w:t>
      </w:r>
      <w:r w:rsidRPr="00E16312">
        <w:rPr>
          <w:rFonts w:cs="Times New Roman"/>
          <w:i/>
        </w:rPr>
        <w:t>Urban Studies</w:t>
      </w:r>
      <w:r>
        <w:rPr>
          <w:rFonts w:cs="Times New Roman"/>
        </w:rPr>
        <w:t xml:space="preserve">. </w:t>
      </w:r>
      <w:r w:rsidRPr="00E16312">
        <w:rPr>
          <w:rFonts w:cs="Times New Roman"/>
          <w:i/>
        </w:rPr>
        <w:t>40</w:t>
      </w:r>
      <w:r>
        <w:rPr>
          <w:rFonts w:cs="Times New Roman"/>
        </w:rPr>
        <w:t>(</w:t>
      </w:r>
      <w:r w:rsidRPr="00E16312">
        <w:rPr>
          <w:rFonts w:cs="Times New Roman"/>
        </w:rPr>
        <w:t>12</w:t>
      </w:r>
      <w:r>
        <w:rPr>
          <w:rFonts w:cs="Times New Roman"/>
        </w:rPr>
        <w:t>).</w:t>
      </w:r>
      <w:r w:rsidRPr="00E16312">
        <w:rPr>
          <w:rFonts w:cs="Times New Roman"/>
        </w:rPr>
        <w:t xml:space="preserve"> 2367–2382</w:t>
      </w:r>
      <w:r>
        <w:rPr>
          <w:rFonts w:cs="Times New Roman"/>
        </w:rPr>
        <w:t>.</w:t>
      </w:r>
    </w:p>
    <w:p w14:paraId="568D0127" w14:textId="77777777" w:rsidR="00C63F3B" w:rsidRDefault="00C63F3B" w:rsidP="00C63F3B">
      <w:pPr>
        <w:spacing w:line="240" w:lineRule="auto"/>
        <w:ind w:left="720" w:hanging="720"/>
        <w:rPr>
          <w:rFonts w:cs="Times New Roman"/>
        </w:rPr>
      </w:pPr>
    </w:p>
    <w:p w14:paraId="7A721752" w14:textId="77777777" w:rsidR="00C63F3B" w:rsidRDefault="00C63F3B" w:rsidP="00C63F3B">
      <w:pPr>
        <w:spacing w:line="240" w:lineRule="auto"/>
        <w:ind w:left="720" w:hanging="720"/>
        <w:rPr>
          <w:rFonts w:cs="Times New Roman"/>
        </w:rPr>
      </w:pPr>
      <w:r>
        <w:rPr>
          <w:rFonts w:cs="Times New Roman"/>
        </w:rPr>
        <w:t xml:space="preserve">Clerval, A. (2011). </w:t>
      </w:r>
      <w:r w:rsidRPr="008A4A15">
        <w:rPr>
          <w:rFonts w:cs="Times New Roman"/>
        </w:rPr>
        <w:t xml:space="preserve">The </w:t>
      </w:r>
      <w:r>
        <w:rPr>
          <w:rFonts w:cs="Times New Roman"/>
        </w:rPr>
        <w:t>S</w:t>
      </w:r>
      <w:r w:rsidRPr="008A4A15">
        <w:rPr>
          <w:rFonts w:cs="Times New Roman"/>
        </w:rPr>
        <w:t xml:space="preserve">patial </w:t>
      </w:r>
      <w:r>
        <w:rPr>
          <w:rFonts w:cs="Times New Roman"/>
        </w:rPr>
        <w:t>D</w:t>
      </w:r>
      <w:r w:rsidRPr="008A4A15">
        <w:rPr>
          <w:rFonts w:cs="Times New Roman"/>
        </w:rPr>
        <w:t xml:space="preserve">ynamics of </w:t>
      </w:r>
      <w:r>
        <w:rPr>
          <w:rFonts w:cs="Times New Roman"/>
        </w:rPr>
        <w:t>G</w:t>
      </w:r>
      <w:r w:rsidRPr="008A4A15">
        <w:rPr>
          <w:rFonts w:cs="Times New Roman"/>
        </w:rPr>
        <w:t xml:space="preserve">entrification in Paris: a </w:t>
      </w:r>
      <w:r>
        <w:rPr>
          <w:rFonts w:cs="Times New Roman"/>
        </w:rPr>
        <w:t>S</w:t>
      </w:r>
      <w:r w:rsidRPr="008A4A15">
        <w:rPr>
          <w:rFonts w:cs="Times New Roman"/>
        </w:rPr>
        <w:t xml:space="preserve">ynthesis </w:t>
      </w:r>
      <w:r>
        <w:rPr>
          <w:rFonts w:cs="Times New Roman"/>
        </w:rPr>
        <w:t>M</w:t>
      </w:r>
      <w:r w:rsidRPr="008A4A15">
        <w:rPr>
          <w:rFonts w:cs="Times New Roman"/>
        </w:rPr>
        <w:t>ap</w:t>
      </w:r>
      <w:r>
        <w:rPr>
          <w:rFonts w:cs="Times New Roman"/>
        </w:rPr>
        <w:t xml:space="preserve">. </w:t>
      </w:r>
      <w:r>
        <w:rPr>
          <w:rFonts w:cs="Times New Roman"/>
          <w:i/>
        </w:rPr>
        <w:t>Cybergeo</w:t>
      </w:r>
      <w:r w:rsidRPr="008A4A15">
        <w:rPr>
          <w:rFonts w:cs="Times New Roman"/>
          <w:i/>
        </w:rPr>
        <w:t xml:space="preserve">: European Journal of Geography, Espace, Société, Territoire, </w:t>
      </w:r>
      <w:r w:rsidRPr="008A4A15">
        <w:rPr>
          <w:rFonts w:cs="Times New Roman"/>
        </w:rPr>
        <w:t>document 553</w:t>
      </w:r>
      <w:r>
        <w:rPr>
          <w:rFonts w:cs="Times New Roman"/>
        </w:rPr>
        <w:t>.</w:t>
      </w:r>
    </w:p>
    <w:p w14:paraId="3F76BEDE" w14:textId="77777777" w:rsidR="00502AAC" w:rsidRDefault="00502AAC" w:rsidP="00C63F3B">
      <w:pPr>
        <w:spacing w:line="240" w:lineRule="auto"/>
        <w:ind w:left="720" w:hanging="720"/>
        <w:rPr>
          <w:rFonts w:cs="Times New Roman"/>
        </w:rPr>
      </w:pPr>
    </w:p>
    <w:p w14:paraId="49851F81" w14:textId="3A6546D1" w:rsidR="00502AAC" w:rsidRPr="00502AAC" w:rsidRDefault="00502AAC" w:rsidP="00C63F3B">
      <w:pPr>
        <w:spacing w:line="240" w:lineRule="auto"/>
        <w:ind w:left="720" w:hanging="720"/>
        <w:rPr>
          <w:rFonts w:cs="Times New Roman"/>
        </w:rPr>
      </w:pPr>
      <w:r>
        <w:rPr>
          <w:rFonts w:cs="Times New Roman"/>
        </w:rPr>
        <w:t>Clemmer, G. (2000). Quantitative and Spatial Analysis Techniques f</w:t>
      </w:r>
      <w:r w:rsidRPr="00502AAC">
        <w:rPr>
          <w:rFonts w:cs="Times New Roman"/>
        </w:rPr>
        <w:t>or Analyzing Gentrification Patterns</w:t>
      </w:r>
      <w:r>
        <w:rPr>
          <w:rFonts w:cs="Times New Roman"/>
        </w:rPr>
        <w:t>. Unpublished white paper.</w:t>
      </w:r>
    </w:p>
    <w:p w14:paraId="05F5A30C" w14:textId="77777777" w:rsidR="00C63F3B" w:rsidRDefault="00C63F3B" w:rsidP="00C63F3B">
      <w:pPr>
        <w:spacing w:line="240" w:lineRule="auto"/>
        <w:ind w:left="720" w:hanging="720"/>
        <w:rPr>
          <w:rFonts w:cs="Times New Roman"/>
        </w:rPr>
      </w:pPr>
    </w:p>
    <w:p w14:paraId="3B7CB962" w14:textId="77777777" w:rsidR="00C63F3B" w:rsidRPr="00E16312" w:rsidRDefault="00C63F3B" w:rsidP="00C63F3B">
      <w:pPr>
        <w:spacing w:line="240" w:lineRule="auto"/>
        <w:ind w:left="720" w:hanging="720"/>
        <w:rPr>
          <w:rFonts w:cs="Times New Roman"/>
        </w:rPr>
      </w:pPr>
      <w:r>
        <w:rPr>
          <w:rFonts w:cs="Times New Roman"/>
        </w:rPr>
        <w:t xml:space="preserve">Dutton, P. (2003). </w:t>
      </w:r>
      <w:r w:rsidRPr="00E16312">
        <w:rPr>
          <w:rFonts w:cs="Times New Roman"/>
        </w:rPr>
        <w:t>Leeds Calling: The Influence of London on the</w:t>
      </w:r>
      <w:r>
        <w:rPr>
          <w:rFonts w:cs="Times New Roman"/>
        </w:rPr>
        <w:t xml:space="preserve"> </w:t>
      </w:r>
      <w:r w:rsidRPr="00E16312">
        <w:rPr>
          <w:rFonts w:cs="Times New Roman"/>
        </w:rPr>
        <w:t>Gentrification of Regional Cities</w:t>
      </w:r>
      <w:r>
        <w:rPr>
          <w:rFonts w:cs="Times New Roman"/>
        </w:rPr>
        <w:t xml:space="preserve">. </w:t>
      </w:r>
      <w:r>
        <w:rPr>
          <w:rFonts w:cs="Times New Roman"/>
          <w:i/>
        </w:rPr>
        <w:t>Urban Studies</w:t>
      </w:r>
      <w:r>
        <w:rPr>
          <w:rFonts w:cs="Times New Roman"/>
        </w:rPr>
        <w:t xml:space="preserve">. </w:t>
      </w:r>
      <w:r>
        <w:rPr>
          <w:rFonts w:cs="Times New Roman"/>
          <w:i/>
        </w:rPr>
        <w:t>40</w:t>
      </w:r>
      <w:r>
        <w:rPr>
          <w:rFonts w:cs="Times New Roman"/>
        </w:rPr>
        <w:t>(12). 2557-2572.</w:t>
      </w:r>
    </w:p>
    <w:p w14:paraId="3AE0BD05" w14:textId="77777777" w:rsidR="00C63F3B" w:rsidRDefault="00C63F3B" w:rsidP="00C63F3B">
      <w:pPr>
        <w:spacing w:line="240" w:lineRule="auto"/>
        <w:ind w:left="720" w:hanging="720"/>
        <w:rPr>
          <w:rFonts w:cs="Times New Roman"/>
        </w:rPr>
      </w:pPr>
    </w:p>
    <w:p w14:paraId="5AC0292E" w14:textId="77777777" w:rsidR="00C63F3B" w:rsidRDefault="00C63F3B" w:rsidP="00C63F3B">
      <w:pPr>
        <w:spacing w:line="240" w:lineRule="auto"/>
        <w:ind w:left="720" w:hanging="720"/>
        <w:rPr>
          <w:rFonts w:cs="Times New Roman"/>
        </w:rPr>
      </w:pPr>
      <w:r>
        <w:rPr>
          <w:rFonts w:cs="Times New Roman"/>
        </w:rPr>
        <w:t xml:space="preserve">Freeman, L. &amp; Braconi, F. (2004). Gentrification and Displacement: New York City in the 1990’s. </w:t>
      </w:r>
      <w:r>
        <w:rPr>
          <w:rFonts w:cs="Times New Roman"/>
          <w:i/>
        </w:rPr>
        <w:t>Journal of the American Planning Association</w:t>
      </w:r>
      <w:r>
        <w:rPr>
          <w:rFonts w:cs="Times New Roman"/>
        </w:rPr>
        <w:t xml:space="preserve">. </w:t>
      </w:r>
      <w:r>
        <w:rPr>
          <w:rFonts w:cs="Times New Roman"/>
          <w:i/>
        </w:rPr>
        <w:t>70</w:t>
      </w:r>
      <w:r>
        <w:rPr>
          <w:rFonts w:cs="Times New Roman"/>
        </w:rPr>
        <w:t>(1). 39-52.</w:t>
      </w:r>
    </w:p>
    <w:p w14:paraId="18F8A4AD" w14:textId="77777777" w:rsidR="00C63F3B" w:rsidRPr="00F01584" w:rsidRDefault="00C63F3B" w:rsidP="00C63F3B">
      <w:pPr>
        <w:spacing w:line="240" w:lineRule="auto"/>
        <w:ind w:left="720" w:hanging="720"/>
        <w:rPr>
          <w:rFonts w:cs="Times New Roman"/>
        </w:rPr>
      </w:pPr>
    </w:p>
    <w:p w14:paraId="15D247F5" w14:textId="77777777" w:rsidR="00C63F3B" w:rsidRDefault="00C63F3B" w:rsidP="00C63F3B">
      <w:pPr>
        <w:spacing w:line="240" w:lineRule="auto"/>
        <w:ind w:left="720" w:hanging="720"/>
        <w:rPr>
          <w:rFonts w:cs="Times New Roman"/>
        </w:rPr>
      </w:pPr>
      <w:r>
        <w:rPr>
          <w:rFonts w:cs="Times New Roman"/>
        </w:rPr>
        <w:t xml:space="preserve">Hamilton, T. &amp; Curran, W. (2013). </w:t>
      </w:r>
      <w:r w:rsidRPr="00F01584">
        <w:rPr>
          <w:rFonts w:cs="Times New Roman"/>
        </w:rPr>
        <w:t>From ‘‘Five Angry Women’’ to ‘‘Kick-ass</w:t>
      </w:r>
      <w:r>
        <w:rPr>
          <w:rFonts w:cs="Times New Roman"/>
        </w:rPr>
        <w:t xml:space="preserve"> </w:t>
      </w:r>
      <w:r w:rsidRPr="00F01584">
        <w:rPr>
          <w:rFonts w:cs="Times New Roman"/>
        </w:rPr>
        <w:t>Community’’: Gentrification and</w:t>
      </w:r>
      <w:r>
        <w:rPr>
          <w:rFonts w:cs="Times New Roman"/>
        </w:rPr>
        <w:t xml:space="preserve"> </w:t>
      </w:r>
      <w:r w:rsidRPr="00F01584">
        <w:rPr>
          <w:rFonts w:cs="Times New Roman"/>
        </w:rPr>
        <w:t>Environ</w:t>
      </w:r>
      <w:r>
        <w:rPr>
          <w:rFonts w:cs="Times New Roman"/>
        </w:rPr>
        <w:t xml:space="preserve">mental Activism in Brooklyn and </w:t>
      </w:r>
      <w:r w:rsidRPr="00F01584">
        <w:rPr>
          <w:rFonts w:cs="Times New Roman"/>
        </w:rPr>
        <w:t>Beyond</w:t>
      </w:r>
      <w:r>
        <w:rPr>
          <w:rFonts w:cs="Times New Roman"/>
        </w:rPr>
        <w:t xml:space="preserve">. </w:t>
      </w:r>
      <w:r>
        <w:rPr>
          <w:rFonts w:cs="Times New Roman"/>
          <w:i/>
        </w:rPr>
        <w:t>Urban Studies. 50(</w:t>
      </w:r>
      <w:r>
        <w:rPr>
          <w:rFonts w:cs="Times New Roman"/>
        </w:rPr>
        <w:t>8). 1557-1574.</w:t>
      </w:r>
    </w:p>
    <w:p w14:paraId="3F1F43F1" w14:textId="77777777" w:rsidR="00C63F3B" w:rsidRPr="00F01584" w:rsidRDefault="00C63F3B" w:rsidP="00C63F3B">
      <w:pPr>
        <w:spacing w:line="240" w:lineRule="auto"/>
        <w:ind w:left="720" w:hanging="720"/>
        <w:rPr>
          <w:rFonts w:cs="Times New Roman"/>
        </w:rPr>
      </w:pPr>
    </w:p>
    <w:p w14:paraId="2D7E4866" w14:textId="77777777" w:rsidR="00C63F3B" w:rsidRDefault="00C63F3B" w:rsidP="00C63F3B">
      <w:pPr>
        <w:spacing w:line="240" w:lineRule="auto"/>
        <w:ind w:left="720" w:hanging="720"/>
        <w:rPr>
          <w:rFonts w:cs="Times New Roman"/>
        </w:rPr>
      </w:pPr>
      <w:r>
        <w:rPr>
          <w:rFonts w:cs="Times New Roman"/>
        </w:rPr>
        <w:t xml:space="preserve">Hammel, D. &amp; Wyly, E. (1998). Modeling the Context and Contingency of Gentrification. </w:t>
      </w:r>
      <w:r>
        <w:rPr>
          <w:rFonts w:cs="Times New Roman"/>
          <w:i/>
        </w:rPr>
        <w:t>Journal of Urban Affairs. 20</w:t>
      </w:r>
      <w:r>
        <w:rPr>
          <w:rFonts w:cs="Times New Roman"/>
        </w:rPr>
        <w:t>(3). 303-326.</w:t>
      </w:r>
    </w:p>
    <w:p w14:paraId="60AC2E58" w14:textId="77777777" w:rsidR="00C63F3B" w:rsidRDefault="00C63F3B" w:rsidP="00C63F3B">
      <w:pPr>
        <w:spacing w:line="240" w:lineRule="auto"/>
        <w:ind w:left="720" w:hanging="720"/>
        <w:rPr>
          <w:rFonts w:cs="Times New Roman"/>
        </w:rPr>
      </w:pPr>
    </w:p>
    <w:p w14:paraId="487AD623" w14:textId="77777777" w:rsidR="00C63F3B" w:rsidRPr="00F62F55" w:rsidRDefault="00C63F3B" w:rsidP="00C63F3B">
      <w:pPr>
        <w:spacing w:after="240" w:line="240" w:lineRule="auto"/>
        <w:ind w:left="720" w:hanging="720"/>
        <w:rPr>
          <w:rFonts w:cs="Times New Roman"/>
        </w:rPr>
      </w:pPr>
      <w:r w:rsidRPr="00F62F55">
        <w:rPr>
          <w:rFonts w:cs="Times New Roman"/>
        </w:rPr>
        <w:t xml:space="preserve">Hammel, D., &amp; Wyly, E. (1996). A </w:t>
      </w:r>
      <w:r>
        <w:rPr>
          <w:rFonts w:cs="Times New Roman"/>
        </w:rPr>
        <w:t>M</w:t>
      </w:r>
      <w:r w:rsidRPr="00F62F55">
        <w:rPr>
          <w:rFonts w:cs="Times New Roman"/>
        </w:rPr>
        <w:t xml:space="preserve">odel for </w:t>
      </w:r>
      <w:r>
        <w:rPr>
          <w:rFonts w:cs="Times New Roman"/>
        </w:rPr>
        <w:t>I</w:t>
      </w:r>
      <w:r w:rsidRPr="00F62F55">
        <w:rPr>
          <w:rFonts w:cs="Times New Roman"/>
        </w:rPr>
        <w:t xml:space="preserve">dentifying </w:t>
      </w:r>
      <w:r>
        <w:rPr>
          <w:rFonts w:cs="Times New Roman"/>
        </w:rPr>
        <w:t>G</w:t>
      </w:r>
      <w:r w:rsidRPr="00F62F55">
        <w:rPr>
          <w:rFonts w:cs="Times New Roman"/>
        </w:rPr>
        <w:t xml:space="preserve">entrified </w:t>
      </w:r>
      <w:r>
        <w:rPr>
          <w:rFonts w:cs="Times New Roman"/>
        </w:rPr>
        <w:t>A</w:t>
      </w:r>
      <w:r w:rsidRPr="00F62F55">
        <w:rPr>
          <w:rFonts w:cs="Times New Roman"/>
        </w:rPr>
        <w:t>reas wi</w:t>
      </w:r>
      <w:r>
        <w:rPr>
          <w:rFonts w:cs="Times New Roman"/>
        </w:rPr>
        <w:t xml:space="preserve">th Census Data. </w:t>
      </w:r>
      <w:r w:rsidRPr="00CF2123">
        <w:rPr>
          <w:rFonts w:cs="Times New Roman"/>
          <w:i/>
        </w:rPr>
        <w:t>Urban Geography</w:t>
      </w:r>
      <w:r>
        <w:rPr>
          <w:rFonts w:cs="Times New Roman"/>
        </w:rPr>
        <w:t>.</w:t>
      </w:r>
      <w:r w:rsidRPr="00F62F55">
        <w:rPr>
          <w:rFonts w:cs="Times New Roman"/>
        </w:rPr>
        <w:t xml:space="preserve"> </w:t>
      </w:r>
      <w:r w:rsidRPr="00CF2123">
        <w:rPr>
          <w:rFonts w:cs="Times New Roman"/>
          <w:i/>
        </w:rPr>
        <w:t>17</w:t>
      </w:r>
      <w:r>
        <w:rPr>
          <w:rFonts w:cs="Times New Roman"/>
        </w:rPr>
        <w:t>(3).</w:t>
      </w:r>
      <w:r w:rsidRPr="00F62F55">
        <w:rPr>
          <w:rFonts w:cs="Times New Roman"/>
        </w:rPr>
        <w:t xml:space="preserve"> 248-268.</w:t>
      </w:r>
    </w:p>
    <w:p w14:paraId="2B75D355" w14:textId="77777777" w:rsidR="00C63F3B" w:rsidRDefault="00C63F3B" w:rsidP="00C63F3B">
      <w:pPr>
        <w:spacing w:line="240" w:lineRule="auto"/>
        <w:ind w:left="720" w:hanging="720"/>
        <w:rPr>
          <w:rFonts w:cs="Times New Roman"/>
        </w:rPr>
      </w:pPr>
      <w:r>
        <w:rPr>
          <w:rFonts w:cs="Times New Roman"/>
        </w:rPr>
        <w:t xml:space="preserve">Hamnett, C. (2003). </w:t>
      </w:r>
      <w:r w:rsidRPr="00F01584">
        <w:rPr>
          <w:rFonts w:cs="Times New Roman"/>
        </w:rPr>
        <w:t>Gentrification and the Middle-class Remaking of</w:t>
      </w:r>
      <w:r>
        <w:rPr>
          <w:rFonts w:cs="Times New Roman"/>
        </w:rPr>
        <w:t xml:space="preserve"> </w:t>
      </w:r>
      <w:r w:rsidRPr="00F01584">
        <w:rPr>
          <w:rFonts w:cs="Times New Roman"/>
        </w:rPr>
        <w:t>Inner London, 1961–2001</w:t>
      </w:r>
      <w:r>
        <w:rPr>
          <w:rFonts w:cs="Times New Roman"/>
        </w:rPr>
        <w:t xml:space="preserve">. </w:t>
      </w:r>
      <w:r>
        <w:rPr>
          <w:rFonts w:cs="Times New Roman"/>
          <w:i/>
        </w:rPr>
        <w:t>Urban Studies. 40</w:t>
      </w:r>
      <w:r>
        <w:rPr>
          <w:rFonts w:cs="Times New Roman"/>
        </w:rPr>
        <w:t>(12). 2401-2426.</w:t>
      </w:r>
    </w:p>
    <w:p w14:paraId="62393CD1" w14:textId="77777777" w:rsidR="00C63F3B" w:rsidRPr="00F01584" w:rsidRDefault="00C63F3B" w:rsidP="00C63F3B">
      <w:pPr>
        <w:spacing w:line="240" w:lineRule="auto"/>
        <w:ind w:left="720" w:hanging="720"/>
        <w:rPr>
          <w:rFonts w:cs="Times New Roman"/>
        </w:rPr>
      </w:pPr>
    </w:p>
    <w:p w14:paraId="48DF0F11" w14:textId="77777777" w:rsidR="00C63F3B" w:rsidRDefault="00C63F3B" w:rsidP="00C63F3B">
      <w:pPr>
        <w:spacing w:line="240" w:lineRule="auto"/>
        <w:ind w:left="720" w:hanging="720"/>
        <w:rPr>
          <w:rFonts w:cs="Times New Roman"/>
        </w:rPr>
      </w:pPr>
      <w:r>
        <w:rPr>
          <w:rFonts w:cs="Times New Roman"/>
        </w:rPr>
        <w:t xml:space="preserve">Lees, L. (2000). </w:t>
      </w:r>
      <w:r w:rsidRPr="00F01584">
        <w:rPr>
          <w:rFonts w:cs="Times New Roman"/>
        </w:rPr>
        <w:t xml:space="preserve">A </w:t>
      </w:r>
      <w:r>
        <w:rPr>
          <w:rFonts w:cs="Times New Roman"/>
        </w:rPr>
        <w:t>R</w:t>
      </w:r>
      <w:r w:rsidRPr="00F01584">
        <w:rPr>
          <w:rFonts w:cs="Times New Roman"/>
        </w:rPr>
        <w:t xml:space="preserve">eappraisal of </w:t>
      </w:r>
      <w:r>
        <w:rPr>
          <w:rFonts w:cs="Times New Roman"/>
        </w:rPr>
        <w:t>G</w:t>
      </w:r>
      <w:r w:rsidRPr="00F01584">
        <w:rPr>
          <w:rFonts w:cs="Times New Roman"/>
        </w:rPr>
        <w:t>entrification:</w:t>
      </w:r>
      <w:r>
        <w:rPr>
          <w:rFonts w:cs="Times New Roman"/>
        </w:rPr>
        <w:t xml:space="preserve"> Towards a ‘Geography of G</w:t>
      </w:r>
      <w:r w:rsidRPr="00F01584">
        <w:rPr>
          <w:rFonts w:cs="Times New Roman"/>
        </w:rPr>
        <w:t>entrification’</w:t>
      </w:r>
      <w:r>
        <w:rPr>
          <w:rFonts w:cs="Times New Roman"/>
        </w:rPr>
        <w:t xml:space="preserve">. </w:t>
      </w:r>
      <w:r>
        <w:rPr>
          <w:rFonts w:cs="Times New Roman"/>
          <w:i/>
        </w:rPr>
        <w:t>Progress in Human Geography</w:t>
      </w:r>
      <w:r>
        <w:rPr>
          <w:rFonts w:cs="Times New Roman"/>
        </w:rPr>
        <w:t xml:space="preserve">. </w:t>
      </w:r>
      <w:r>
        <w:rPr>
          <w:rFonts w:cs="Times New Roman"/>
          <w:i/>
        </w:rPr>
        <w:t>24</w:t>
      </w:r>
      <w:r>
        <w:rPr>
          <w:rFonts w:cs="Times New Roman"/>
        </w:rPr>
        <w:t>(3). 389-408.</w:t>
      </w:r>
    </w:p>
    <w:p w14:paraId="3051E3A8" w14:textId="77777777" w:rsidR="00C63F3B" w:rsidRPr="00F01584" w:rsidRDefault="00C63F3B" w:rsidP="00C63F3B">
      <w:pPr>
        <w:spacing w:line="240" w:lineRule="auto"/>
        <w:ind w:left="720" w:hanging="720"/>
        <w:rPr>
          <w:rFonts w:cs="Times New Roman"/>
        </w:rPr>
      </w:pPr>
    </w:p>
    <w:p w14:paraId="50976DC3" w14:textId="77777777" w:rsidR="00C63F3B" w:rsidRDefault="00C63F3B" w:rsidP="00C63F3B">
      <w:pPr>
        <w:spacing w:line="240" w:lineRule="auto"/>
        <w:ind w:left="720" w:hanging="720"/>
        <w:rPr>
          <w:rFonts w:cs="Times New Roman"/>
        </w:rPr>
      </w:pPr>
      <w:r>
        <w:rPr>
          <w:rFonts w:cs="Times New Roman"/>
        </w:rPr>
        <w:t xml:space="preserve">Lees, L. (2008). </w:t>
      </w:r>
      <w:r w:rsidRPr="00F01584">
        <w:rPr>
          <w:rFonts w:cs="Times New Roman"/>
        </w:rPr>
        <w:t>Gentrification and Social Mixing:</w:t>
      </w:r>
      <w:r>
        <w:rPr>
          <w:rFonts w:cs="Times New Roman"/>
        </w:rPr>
        <w:t xml:space="preserve"> </w:t>
      </w:r>
      <w:r w:rsidRPr="00F01584">
        <w:rPr>
          <w:rFonts w:cs="Times New Roman"/>
        </w:rPr>
        <w:t>Towards an Inclusive Urban Renaissance?</w:t>
      </w:r>
      <w:r>
        <w:rPr>
          <w:rFonts w:cs="Times New Roman"/>
        </w:rPr>
        <w:t xml:space="preserve"> </w:t>
      </w:r>
      <w:r>
        <w:rPr>
          <w:rFonts w:cs="Times New Roman"/>
          <w:i/>
        </w:rPr>
        <w:t>Urban Studies. 45</w:t>
      </w:r>
      <w:r>
        <w:rPr>
          <w:rFonts w:cs="Times New Roman"/>
        </w:rPr>
        <w:t>(12). 2449-2470.</w:t>
      </w:r>
    </w:p>
    <w:p w14:paraId="5C5AA17D" w14:textId="77777777" w:rsidR="00C63F3B" w:rsidRPr="00F01584" w:rsidRDefault="00C63F3B" w:rsidP="00C63F3B">
      <w:pPr>
        <w:spacing w:line="240" w:lineRule="auto"/>
        <w:ind w:left="720" w:hanging="720"/>
        <w:rPr>
          <w:rFonts w:cs="Times New Roman"/>
        </w:rPr>
      </w:pPr>
    </w:p>
    <w:p w14:paraId="1BF21579" w14:textId="77777777" w:rsidR="00C63F3B" w:rsidRDefault="00C63F3B" w:rsidP="00C63F3B">
      <w:pPr>
        <w:spacing w:line="240" w:lineRule="auto"/>
        <w:ind w:left="720" w:hanging="720"/>
        <w:rPr>
          <w:rFonts w:cs="Times New Roman"/>
        </w:rPr>
      </w:pPr>
      <w:r>
        <w:rPr>
          <w:rFonts w:cs="Times New Roman"/>
        </w:rPr>
        <w:t xml:space="preserve">Pratt, A. (2009). </w:t>
      </w:r>
      <w:r w:rsidRPr="00F01584">
        <w:rPr>
          <w:rFonts w:cs="Times New Roman"/>
        </w:rPr>
        <w:t>Urban Regeneration: From the Arts ‘Feel</w:t>
      </w:r>
      <w:r>
        <w:rPr>
          <w:rFonts w:cs="Times New Roman"/>
        </w:rPr>
        <w:t xml:space="preserve"> </w:t>
      </w:r>
      <w:r w:rsidRPr="00F01584">
        <w:rPr>
          <w:rFonts w:cs="Times New Roman"/>
        </w:rPr>
        <w:t>Good’ Factor to the Cultural</w:t>
      </w:r>
      <w:r>
        <w:rPr>
          <w:rFonts w:cs="Times New Roman"/>
        </w:rPr>
        <w:t xml:space="preserve"> </w:t>
      </w:r>
      <w:r w:rsidRPr="00F01584">
        <w:rPr>
          <w:rFonts w:cs="Times New Roman"/>
        </w:rPr>
        <w:t>Economy:</w:t>
      </w:r>
      <w:r>
        <w:rPr>
          <w:rFonts w:cs="Times New Roman"/>
        </w:rPr>
        <w:t xml:space="preserve"> </w:t>
      </w:r>
      <w:r w:rsidRPr="00F01584">
        <w:rPr>
          <w:rFonts w:cs="Times New Roman"/>
        </w:rPr>
        <w:t>A Case Study of Hoxton, London</w:t>
      </w:r>
      <w:r>
        <w:rPr>
          <w:rFonts w:cs="Times New Roman"/>
        </w:rPr>
        <w:t xml:space="preserve">. </w:t>
      </w:r>
      <w:r>
        <w:rPr>
          <w:rFonts w:cs="Times New Roman"/>
          <w:i/>
        </w:rPr>
        <w:t>Urban Studies. 46</w:t>
      </w:r>
      <w:r>
        <w:rPr>
          <w:rFonts w:cs="Times New Roman"/>
        </w:rPr>
        <w:t>(5&amp;6). 1041-1061.</w:t>
      </w:r>
    </w:p>
    <w:p w14:paraId="312E8D5D" w14:textId="77777777" w:rsidR="00C63F3B" w:rsidRPr="00F01584" w:rsidRDefault="00C63F3B" w:rsidP="00C63F3B">
      <w:pPr>
        <w:spacing w:line="240" w:lineRule="auto"/>
        <w:ind w:left="720" w:hanging="720"/>
        <w:rPr>
          <w:rFonts w:cs="Times New Roman"/>
        </w:rPr>
      </w:pPr>
    </w:p>
    <w:p w14:paraId="61F1EA6C" w14:textId="77777777" w:rsidR="00C63F3B" w:rsidRDefault="00C63F3B" w:rsidP="00C63F3B">
      <w:pPr>
        <w:spacing w:line="240" w:lineRule="auto"/>
        <w:ind w:left="720" w:hanging="720"/>
        <w:rPr>
          <w:rFonts w:cs="Times New Roman"/>
        </w:rPr>
      </w:pPr>
      <w:r>
        <w:rPr>
          <w:rFonts w:cs="Times New Roman"/>
        </w:rPr>
        <w:t xml:space="preserve">Smith, N. &amp; Defilippis, J. (1999). </w:t>
      </w:r>
      <w:r w:rsidRPr="00F01584">
        <w:rPr>
          <w:rFonts w:cs="Times New Roman"/>
        </w:rPr>
        <w:t>The Reassertion of Economics: 1990s</w:t>
      </w:r>
      <w:r>
        <w:rPr>
          <w:rFonts w:cs="Times New Roman"/>
        </w:rPr>
        <w:t xml:space="preserve"> </w:t>
      </w:r>
      <w:r w:rsidRPr="00F01584">
        <w:rPr>
          <w:rFonts w:cs="Times New Roman"/>
        </w:rPr>
        <w:t>Gentrification in the Lower East Side</w:t>
      </w:r>
      <w:r>
        <w:rPr>
          <w:rFonts w:cs="Times New Roman"/>
        </w:rPr>
        <w:t xml:space="preserve">. </w:t>
      </w:r>
      <w:r>
        <w:rPr>
          <w:rFonts w:cs="Times New Roman"/>
          <w:i/>
        </w:rPr>
        <w:t>International Journal of Urban and Regional Research. 23</w:t>
      </w:r>
      <w:r>
        <w:rPr>
          <w:rFonts w:cs="Times New Roman"/>
        </w:rPr>
        <w:t>(4). 638-653.</w:t>
      </w:r>
    </w:p>
    <w:p w14:paraId="18BB0F92" w14:textId="77777777" w:rsidR="00C63F3B" w:rsidRDefault="00C63F3B" w:rsidP="00C63F3B">
      <w:pPr>
        <w:spacing w:line="240" w:lineRule="auto"/>
        <w:ind w:left="720" w:hanging="720"/>
        <w:rPr>
          <w:rFonts w:cs="Times New Roman"/>
        </w:rPr>
      </w:pPr>
    </w:p>
    <w:p w14:paraId="5B5121D0" w14:textId="77777777" w:rsidR="00C63F3B" w:rsidRDefault="00C63F3B" w:rsidP="00C63F3B">
      <w:pPr>
        <w:spacing w:line="240" w:lineRule="auto"/>
        <w:ind w:left="720" w:hanging="720"/>
        <w:rPr>
          <w:rFonts w:cs="Times New Roman"/>
        </w:rPr>
      </w:pPr>
      <w:r w:rsidRPr="00D20099">
        <w:rPr>
          <w:rFonts w:cs="Times New Roman"/>
        </w:rPr>
        <w:t xml:space="preserve">Williams, P. </w:t>
      </w:r>
      <w:r>
        <w:rPr>
          <w:rFonts w:cs="Times New Roman"/>
        </w:rPr>
        <w:t xml:space="preserve">&amp; </w:t>
      </w:r>
      <w:r w:rsidRPr="00D20099">
        <w:rPr>
          <w:rFonts w:cs="Times New Roman"/>
        </w:rPr>
        <w:t>Smith, N. (1986)</w:t>
      </w:r>
      <w:r>
        <w:rPr>
          <w:rFonts w:cs="Times New Roman"/>
        </w:rPr>
        <w:t>.</w:t>
      </w:r>
      <w:r w:rsidRPr="00D20099">
        <w:rPr>
          <w:rFonts w:cs="Times New Roman"/>
        </w:rPr>
        <w:t xml:space="preserve"> From ‘</w:t>
      </w:r>
      <w:r>
        <w:rPr>
          <w:rFonts w:cs="Times New Roman"/>
        </w:rPr>
        <w:t>R</w:t>
      </w:r>
      <w:r w:rsidRPr="00D20099">
        <w:rPr>
          <w:rFonts w:cs="Times New Roman"/>
        </w:rPr>
        <w:t>enaissance’</w:t>
      </w:r>
      <w:r>
        <w:rPr>
          <w:rFonts w:cs="Times New Roman"/>
        </w:rPr>
        <w:t xml:space="preserve"> </w:t>
      </w:r>
      <w:r w:rsidRPr="00D20099">
        <w:rPr>
          <w:rFonts w:cs="Times New Roman"/>
        </w:rPr>
        <w:t xml:space="preserve">to </w:t>
      </w:r>
      <w:r>
        <w:rPr>
          <w:rFonts w:cs="Times New Roman"/>
        </w:rPr>
        <w:t>R</w:t>
      </w:r>
      <w:r w:rsidRPr="00D20099">
        <w:rPr>
          <w:rFonts w:cs="Times New Roman"/>
        </w:rPr>
        <w:t xml:space="preserve">estructuring: the </w:t>
      </w:r>
      <w:r>
        <w:rPr>
          <w:rFonts w:cs="Times New Roman"/>
        </w:rPr>
        <w:t>D</w:t>
      </w:r>
      <w:r w:rsidRPr="00D20099">
        <w:rPr>
          <w:rFonts w:cs="Times New Roman"/>
        </w:rPr>
        <w:t xml:space="preserve">ynamics of </w:t>
      </w:r>
      <w:r>
        <w:rPr>
          <w:rFonts w:cs="Times New Roman"/>
        </w:rPr>
        <w:t>C</w:t>
      </w:r>
      <w:r w:rsidRPr="00D20099">
        <w:rPr>
          <w:rFonts w:cs="Times New Roman"/>
        </w:rPr>
        <w:t>ontemporary</w:t>
      </w:r>
      <w:r>
        <w:rPr>
          <w:rFonts w:cs="Times New Roman"/>
        </w:rPr>
        <w:t xml:space="preserve"> U</w:t>
      </w:r>
      <w:r w:rsidRPr="00D20099">
        <w:rPr>
          <w:rFonts w:cs="Times New Roman"/>
        </w:rPr>
        <w:t xml:space="preserve">rban </w:t>
      </w:r>
      <w:r>
        <w:rPr>
          <w:rFonts w:cs="Times New Roman"/>
        </w:rPr>
        <w:t>D</w:t>
      </w:r>
      <w:r w:rsidRPr="00D20099">
        <w:rPr>
          <w:rFonts w:cs="Times New Roman"/>
        </w:rPr>
        <w:t>evelopment, in: N. Smith and</w:t>
      </w:r>
      <w:r>
        <w:rPr>
          <w:rFonts w:cs="Times New Roman"/>
        </w:rPr>
        <w:t xml:space="preserve"> </w:t>
      </w:r>
      <w:r w:rsidRPr="00D20099">
        <w:rPr>
          <w:rFonts w:cs="Times New Roman"/>
        </w:rPr>
        <w:t>P. Williams (E</w:t>
      </w:r>
      <w:r>
        <w:rPr>
          <w:rFonts w:cs="Times New Roman"/>
        </w:rPr>
        <w:t xml:space="preserve">ds) </w:t>
      </w:r>
      <w:r w:rsidRPr="00D20099">
        <w:rPr>
          <w:rFonts w:cs="Times New Roman"/>
          <w:i/>
        </w:rPr>
        <w:t>Gentrification of the City</w:t>
      </w:r>
      <w:r>
        <w:rPr>
          <w:rFonts w:cs="Times New Roman"/>
        </w:rPr>
        <w:t xml:space="preserve">. </w:t>
      </w:r>
      <w:r w:rsidRPr="00D20099">
        <w:rPr>
          <w:rFonts w:cs="Times New Roman"/>
        </w:rPr>
        <w:t>204–224. London: Allen and Unwin.</w:t>
      </w:r>
    </w:p>
    <w:p w14:paraId="528B173B" w14:textId="77777777" w:rsidR="00C63F3B" w:rsidRDefault="00C63F3B" w:rsidP="00C63F3B">
      <w:pPr>
        <w:spacing w:line="240" w:lineRule="auto"/>
        <w:ind w:left="720" w:hanging="720"/>
        <w:rPr>
          <w:rFonts w:cs="Times New Roman"/>
        </w:rPr>
      </w:pPr>
    </w:p>
    <w:p w14:paraId="3D071723" w14:textId="77777777" w:rsidR="00C63F3B" w:rsidRDefault="00C63F3B" w:rsidP="00C63F3B">
      <w:pPr>
        <w:spacing w:line="240" w:lineRule="auto"/>
        <w:ind w:left="720" w:hanging="720"/>
        <w:rPr>
          <w:rFonts w:cs="Times New Roman"/>
        </w:rPr>
      </w:pPr>
      <w:r>
        <w:rPr>
          <w:rFonts w:cs="Times New Roman"/>
        </w:rPr>
        <w:t>Wyly, E. &amp; Hammel, D. (1999).</w:t>
      </w:r>
      <w:r w:rsidRPr="00D20099">
        <w:rPr>
          <w:rFonts w:cs="Times New Roman"/>
        </w:rPr>
        <w:t xml:space="preserve"> Islands of </w:t>
      </w:r>
      <w:r>
        <w:rPr>
          <w:rFonts w:cs="Times New Roman"/>
        </w:rPr>
        <w:t>D</w:t>
      </w:r>
      <w:r w:rsidRPr="00D20099">
        <w:rPr>
          <w:rFonts w:cs="Times New Roman"/>
        </w:rPr>
        <w:t>ecay</w:t>
      </w:r>
      <w:r>
        <w:rPr>
          <w:rFonts w:cs="Times New Roman"/>
        </w:rPr>
        <w:t xml:space="preserve"> </w:t>
      </w:r>
      <w:r w:rsidRPr="00D20099">
        <w:rPr>
          <w:rFonts w:cs="Times New Roman"/>
        </w:rPr>
        <w:t xml:space="preserve">in </w:t>
      </w:r>
      <w:r>
        <w:rPr>
          <w:rFonts w:cs="Times New Roman"/>
        </w:rPr>
        <w:t>S</w:t>
      </w:r>
      <w:r w:rsidRPr="00D20099">
        <w:rPr>
          <w:rFonts w:cs="Times New Roman"/>
        </w:rPr>
        <w:t xml:space="preserve">eas of </w:t>
      </w:r>
      <w:r>
        <w:rPr>
          <w:rFonts w:cs="Times New Roman"/>
        </w:rPr>
        <w:t>R</w:t>
      </w:r>
      <w:r w:rsidRPr="00D20099">
        <w:rPr>
          <w:rFonts w:cs="Times New Roman"/>
        </w:rPr>
        <w:t xml:space="preserve">enewal: </w:t>
      </w:r>
      <w:r>
        <w:rPr>
          <w:rFonts w:cs="Times New Roman"/>
        </w:rPr>
        <w:t>H</w:t>
      </w:r>
      <w:r w:rsidRPr="00D20099">
        <w:rPr>
          <w:rFonts w:cs="Times New Roman"/>
        </w:rPr>
        <w:t xml:space="preserve">ousing </w:t>
      </w:r>
      <w:r>
        <w:rPr>
          <w:rFonts w:cs="Times New Roman"/>
        </w:rPr>
        <w:t>Policy and the R</w:t>
      </w:r>
      <w:r w:rsidRPr="00D20099">
        <w:rPr>
          <w:rFonts w:cs="Times New Roman"/>
        </w:rPr>
        <w:t xml:space="preserve">esurgence of </w:t>
      </w:r>
      <w:r>
        <w:rPr>
          <w:rFonts w:cs="Times New Roman"/>
        </w:rPr>
        <w:t>G</w:t>
      </w:r>
      <w:r w:rsidRPr="00D20099">
        <w:rPr>
          <w:rFonts w:cs="Times New Roman"/>
        </w:rPr>
        <w:t xml:space="preserve">entrification. </w:t>
      </w:r>
      <w:r w:rsidRPr="00D20099">
        <w:rPr>
          <w:rFonts w:cs="Times New Roman"/>
          <w:i/>
        </w:rPr>
        <w:t>Housing Policy Debate</w:t>
      </w:r>
      <w:r>
        <w:rPr>
          <w:rFonts w:cs="Times New Roman"/>
        </w:rPr>
        <w:t>.</w:t>
      </w:r>
      <w:r w:rsidRPr="00D20099">
        <w:rPr>
          <w:rFonts w:cs="Times New Roman"/>
        </w:rPr>
        <w:t xml:space="preserve"> </w:t>
      </w:r>
      <w:r w:rsidRPr="00D20099">
        <w:rPr>
          <w:rFonts w:cs="Times New Roman"/>
          <w:i/>
        </w:rPr>
        <w:t>10</w:t>
      </w:r>
      <w:r>
        <w:rPr>
          <w:rFonts w:cs="Times New Roman"/>
        </w:rPr>
        <w:t>.</w:t>
      </w:r>
      <w:r w:rsidRPr="00D20099">
        <w:rPr>
          <w:rFonts w:cs="Times New Roman"/>
        </w:rPr>
        <w:t xml:space="preserve"> 711–</w:t>
      </w:r>
      <w:r>
        <w:rPr>
          <w:rFonts w:cs="Times New Roman"/>
        </w:rPr>
        <w:t>7</w:t>
      </w:r>
      <w:r w:rsidRPr="00D20099">
        <w:rPr>
          <w:rFonts w:cs="Times New Roman"/>
        </w:rPr>
        <w:t>71.</w:t>
      </w:r>
    </w:p>
    <w:p w14:paraId="2AED2BC3" w14:textId="77777777" w:rsidR="00095CBA" w:rsidRPr="00F43C34" w:rsidRDefault="00095CBA" w:rsidP="00D375EE"/>
    <w:sectPr w:rsidR="00095CBA" w:rsidRPr="00F43C34" w:rsidSect="00F739EB">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7D752C" w14:textId="77777777" w:rsidR="007C491C" w:rsidRDefault="007C491C" w:rsidP="00A54BAB">
      <w:pPr>
        <w:spacing w:line="240" w:lineRule="auto"/>
      </w:pPr>
      <w:r>
        <w:separator/>
      </w:r>
    </w:p>
  </w:endnote>
  <w:endnote w:type="continuationSeparator" w:id="0">
    <w:p w14:paraId="1772BB94" w14:textId="77777777" w:rsidR="007C491C" w:rsidRDefault="007C491C" w:rsidP="00A54B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0B94C" w14:textId="572A4CC8" w:rsidR="00E63779" w:rsidRPr="00667DC8" w:rsidRDefault="00E63779" w:rsidP="0086545C">
    <w:pPr>
      <w:pStyle w:val="Footer"/>
      <w:jc w:val="right"/>
      <w:rPr>
        <w:rFonts w:cs="Times New Roman"/>
      </w:rPr>
    </w:pPr>
    <w:r>
      <w:rPr>
        <w:rFonts w:cs="Times New Roman"/>
      </w:rPr>
      <w:t xml:space="preserve">Hudson - </w:t>
    </w:r>
    <w:r w:rsidRPr="00667DC8">
      <w:rPr>
        <w:rFonts w:cs="Times New Roman"/>
      </w:rPr>
      <w:fldChar w:fldCharType="begin"/>
    </w:r>
    <w:r w:rsidRPr="00667DC8">
      <w:rPr>
        <w:rFonts w:cs="Times New Roman"/>
      </w:rPr>
      <w:instrText xml:space="preserve"> PAGE   \* MERGEFORMAT </w:instrText>
    </w:r>
    <w:r w:rsidRPr="00667DC8">
      <w:rPr>
        <w:rFonts w:cs="Times New Roman"/>
      </w:rPr>
      <w:fldChar w:fldCharType="separate"/>
    </w:r>
    <w:r w:rsidR="00707C85">
      <w:rPr>
        <w:rFonts w:cs="Times New Roman"/>
        <w:noProof/>
      </w:rPr>
      <w:t>15</w:t>
    </w:r>
    <w:r w:rsidRPr="00667DC8">
      <w:rPr>
        <w:rFonts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3016EA" w14:textId="77777777" w:rsidR="007C491C" w:rsidRDefault="007C491C" w:rsidP="00A54BAB">
      <w:pPr>
        <w:spacing w:line="240" w:lineRule="auto"/>
      </w:pPr>
      <w:r>
        <w:separator/>
      </w:r>
    </w:p>
  </w:footnote>
  <w:footnote w:type="continuationSeparator" w:id="0">
    <w:p w14:paraId="68F5FEB9" w14:textId="77777777" w:rsidR="007C491C" w:rsidRDefault="007C491C" w:rsidP="00A54BA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75894"/>
    <w:multiLevelType w:val="hybridMultilevel"/>
    <w:tmpl w:val="F8243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643DA0"/>
    <w:multiLevelType w:val="hybridMultilevel"/>
    <w:tmpl w:val="7F7E8A18"/>
    <w:lvl w:ilvl="0" w:tplc="7D383D7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91A566C"/>
    <w:multiLevelType w:val="hybridMultilevel"/>
    <w:tmpl w:val="D17E4848"/>
    <w:lvl w:ilvl="0" w:tplc="89609DA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4F5BE9"/>
    <w:multiLevelType w:val="hybridMultilevel"/>
    <w:tmpl w:val="C3DC45B6"/>
    <w:lvl w:ilvl="0" w:tplc="88DE26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FCF17DE"/>
    <w:multiLevelType w:val="hybridMultilevel"/>
    <w:tmpl w:val="A7CE23B6"/>
    <w:lvl w:ilvl="0" w:tplc="FFFFFFFF">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8C52FD"/>
    <w:multiLevelType w:val="multilevel"/>
    <w:tmpl w:val="5F885B44"/>
    <w:lvl w:ilvl="0">
      <w:start w:val="1"/>
      <w:numFmt w:val="decimal"/>
      <w:pStyle w:val="Heading1"/>
      <w:lvlText w:val="%1."/>
      <w:lvlJc w:val="left"/>
      <w:pPr>
        <w:ind w:left="720" w:hanging="360"/>
      </w:pPr>
      <w:rPr>
        <w:b/>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7742A98"/>
    <w:multiLevelType w:val="hybridMultilevel"/>
    <w:tmpl w:val="8FEE2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E444B5"/>
    <w:multiLevelType w:val="hybridMultilevel"/>
    <w:tmpl w:val="15D84ADC"/>
    <w:lvl w:ilvl="0" w:tplc="FFFFFFFF">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6C793302"/>
    <w:multiLevelType w:val="hybridMultilevel"/>
    <w:tmpl w:val="0FAA4F3A"/>
    <w:lvl w:ilvl="0" w:tplc="28AC9F2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2"/>
  </w:num>
  <w:num w:numId="4">
    <w:abstractNumId w:val="8"/>
  </w:num>
  <w:num w:numId="5">
    <w:abstractNumId w:val="5"/>
  </w:num>
  <w:num w:numId="6">
    <w:abstractNumId w:val="6"/>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A4"/>
    <w:rsid w:val="00000693"/>
    <w:rsid w:val="00004D75"/>
    <w:rsid w:val="000079C2"/>
    <w:rsid w:val="00020201"/>
    <w:rsid w:val="00031BD8"/>
    <w:rsid w:val="00045EBC"/>
    <w:rsid w:val="00065B02"/>
    <w:rsid w:val="0007494E"/>
    <w:rsid w:val="00076F4B"/>
    <w:rsid w:val="00085B78"/>
    <w:rsid w:val="0009037A"/>
    <w:rsid w:val="00093731"/>
    <w:rsid w:val="00093C82"/>
    <w:rsid w:val="00094004"/>
    <w:rsid w:val="00095CBA"/>
    <w:rsid w:val="00096239"/>
    <w:rsid w:val="000A0F13"/>
    <w:rsid w:val="000B2A87"/>
    <w:rsid w:val="000B5C73"/>
    <w:rsid w:val="000C28B6"/>
    <w:rsid w:val="000F5D17"/>
    <w:rsid w:val="00105FD3"/>
    <w:rsid w:val="00111AA9"/>
    <w:rsid w:val="00121AE1"/>
    <w:rsid w:val="00124330"/>
    <w:rsid w:val="00132F80"/>
    <w:rsid w:val="00135926"/>
    <w:rsid w:val="001439C0"/>
    <w:rsid w:val="00146A5D"/>
    <w:rsid w:val="00154B71"/>
    <w:rsid w:val="001671AD"/>
    <w:rsid w:val="00170C4D"/>
    <w:rsid w:val="0017138A"/>
    <w:rsid w:val="0017225C"/>
    <w:rsid w:val="001804BC"/>
    <w:rsid w:val="001806DD"/>
    <w:rsid w:val="0018088A"/>
    <w:rsid w:val="0018570E"/>
    <w:rsid w:val="001906ED"/>
    <w:rsid w:val="00192C9B"/>
    <w:rsid w:val="001B132F"/>
    <w:rsid w:val="001B661F"/>
    <w:rsid w:val="001C175B"/>
    <w:rsid w:val="001D0D7B"/>
    <w:rsid w:val="001D1611"/>
    <w:rsid w:val="001D22D4"/>
    <w:rsid w:val="001D40F6"/>
    <w:rsid w:val="001E03F0"/>
    <w:rsid w:val="001E13E9"/>
    <w:rsid w:val="00214B57"/>
    <w:rsid w:val="00214D3A"/>
    <w:rsid w:val="002318AA"/>
    <w:rsid w:val="00241FFB"/>
    <w:rsid w:val="002436B5"/>
    <w:rsid w:val="00251EE5"/>
    <w:rsid w:val="002533BC"/>
    <w:rsid w:val="00254D18"/>
    <w:rsid w:val="0025530F"/>
    <w:rsid w:val="00257144"/>
    <w:rsid w:val="0026155A"/>
    <w:rsid w:val="00263AAD"/>
    <w:rsid w:val="0027075E"/>
    <w:rsid w:val="00271D80"/>
    <w:rsid w:val="0027354A"/>
    <w:rsid w:val="002759DF"/>
    <w:rsid w:val="00291BFE"/>
    <w:rsid w:val="00296F11"/>
    <w:rsid w:val="002A2783"/>
    <w:rsid w:val="002B0B3A"/>
    <w:rsid w:val="002B2DA6"/>
    <w:rsid w:val="002D05A4"/>
    <w:rsid w:val="002D5B33"/>
    <w:rsid w:val="002D7690"/>
    <w:rsid w:val="002F24EB"/>
    <w:rsid w:val="00322AE0"/>
    <w:rsid w:val="003337A6"/>
    <w:rsid w:val="00346FDD"/>
    <w:rsid w:val="003565DE"/>
    <w:rsid w:val="00382B8E"/>
    <w:rsid w:val="00396B5D"/>
    <w:rsid w:val="003A35D8"/>
    <w:rsid w:val="003A5CDC"/>
    <w:rsid w:val="003B122A"/>
    <w:rsid w:val="003B1B5F"/>
    <w:rsid w:val="003B2600"/>
    <w:rsid w:val="003E5AE4"/>
    <w:rsid w:val="003E7871"/>
    <w:rsid w:val="00400F2F"/>
    <w:rsid w:val="00431333"/>
    <w:rsid w:val="00435D73"/>
    <w:rsid w:val="00443B47"/>
    <w:rsid w:val="004443D5"/>
    <w:rsid w:val="00447DE5"/>
    <w:rsid w:val="00450853"/>
    <w:rsid w:val="0045233B"/>
    <w:rsid w:val="00456D25"/>
    <w:rsid w:val="00465A7C"/>
    <w:rsid w:val="0047022E"/>
    <w:rsid w:val="00472228"/>
    <w:rsid w:val="0049322E"/>
    <w:rsid w:val="004943F7"/>
    <w:rsid w:val="004A5C66"/>
    <w:rsid w:val="004C4834"/>
    <w:rsid w:val="004C62CA"/>
    <w:rsid w:val="004C7058"/>
    <w:rsid w:val="004C7C53"/>
    <w:rsid w:val="004D2A90"/>
    <w:rsid w:val="004D6B9B"/>
    <w:rsid w:val="004E0F77"/>
    <w:rsid w:val="004E34D7"/>
    <w:rsid w:val="00501A6D"/>
    <w:rsid w:val="00502AAC"/>
    <w:rsid w:val="0050402C"/>
    <w:rsid w:val="0050510B"/>
    <w:rsid w:val="005126DD"/>
    <w:rsid w:val="005244A6"/>
    <w:rsid w:val="00537CCF"/>
    <w:rsid w:val="0055355A"/>
    <w:rsid w:val="0056019F"/>
    <w:rsid w:val="00561BCD"/>
    <w:rsid w:val="00570B10"/>
    <w:rsid w:val="00572E3E"/>
    <w:rsid w:val="00575516"/>
    <w:rsid w:val="005771A3"/>
    <w:rsid w:val="005962AB"/>
    <w:rsid w:val="005A1518"/>
    <w:rsid w:val="005A4FB5"/>
    <w:rsid w:val="005A5210"/>
    <w:rsid w:val="005A768C"/>
    <w:rsid w:val="005A7793"/>
    <w:rsid w:val="005B2388"/>
    <w:rsid w:val="005C5201"/>
    <w:rsid w:val="005F3E63"/>
    <w:rsid w:val="005F43F9"/>
    <w:rsid w:val="005F70B0"/>
    <w:rsid w:val="00602AF4"/>
    <w:rsid w:val="00607219"/>
    <w:rsid w:val="00630ED5"/>
    <w:rsid w:val="0064328D"/>
    <w:rsid w:val="00643B54"/>
    <w:rsid w:val="006645D4"/>
    <w:rsid w:val="00667DC8"/>
    <w:rsid w:val="00672AFE"/>
    <w:rsid w:val="006739CE"/>
    <w:rsid w:val="00690DC6"/>
    <w:rsid w:val="006934AB"/>
    <w:rsid w:val="0069787A"/>
    <w:rsid w:val="006A3F05"/>
    <w:rsid w:val="006A7109"/>
    <w:rsid w:val="006C3B05"/>
    <w:rsid w:val="006F2705"/>
    <w:rsid w:val="006F346A"/>
    <w:rsid w:val="00707BE6"/>
    <w:rsid w:val="00707C85"/>
    <w:rsid w:val="00723143"/>
    <w:rsid w:val="00734530"/>
    <w:rsid w:val="0074709E"/>
    <w:rsid w:val="00750E8E"/>
    <w:rsid w:val="00755EE2"/>
    <w:rsid w:val="00757484"/>
    <w:rsid w:val="0076373A"/>
    <w:rsid w:val="007646B3"/>
    <w:rsid w:val="00771177"/>
    <w:rsid w:val="007856B1"/>
    <w:rsid w:val="00791483"/>
    <w:rsid w:val="007A2853"/>
    <w:rsid w:val="007A2D68"/>
    <w:rsid w:val="007B6EDB"/>
    <w:rsid w:val="007C491C"/>
    <w:rsid w:val="007C5372"/>
    <w:rsid w:val="007E14A2"/>
    <w:rsid w:val="007E4CDC"/>
    <w:rsid w:val="007F10D4"/>
    <w:rsid w:val="007F340F"/>
    <w:rsid w:val="008020E5"/>
    <w:rsid w:val="008020E6"/>
    <w:rsid w:val="00802D86"/>
    <w:rsid w:val="00814CEC"/>
    <w:rsid w:val="008158DE"/>
    <w:rsid w:val="008248E0"/>
    <w:rsid w:val="0082727D"/>
    <w:rsid w:val="00842F6F"/>
    <w:rsid w:val="00857289"/>
    <w:rsid w:val="0086545C"/>
    <w:rsid w:val="008721C5"/>
    <w:rsid w:val="008724D4"/>
    <w:rsid w:val="00873A8C"/>
    <w:rsid w:val="00875A17"/>
    <w:rsid w:val="00876EAD"/>
    <w:rsid w:val="00886DF5"/>
    <w:rsid w:val="00887627"/>
    <w:rsid w:val="00890025"/>
    <w:rsid w:val="00890B8F"/>
    <w:rsid w:val="008A0911"/>
    <w:rsid w:val="008A57ED"/>
    <w:rsid w:val="008B5E5E"/>
    <w:rsid w:val="008B7F87"/>
    <w:rsid w:val="008C1A9C"/>
    <w:rsid w:val="008C6F0C"/>
    <w:rsid w:val="008E5ABE"/>
    <w:rsid w:val="008E68B7"/>
    <w:rsid w:val="008F081A"/>
    <w:rsid w:val="008F200E"/>
    <w:rsid w:val="00903628"/>
    <w:rsid w:val="009128F9"/>
    <w:rsid w:val="00924496"/>
    <w:rsid w:val="009322EB"/>
    <w:rsid w:val="00934E0C"/>
    <w:rsid w:val="00953950"/>
    <w:rsid w:val="00960F40"/>
    <w:rsid w:val="009808CD"/>
    <w:rsid w:val="009815C8"/>
    <w:rsid w:val="00983716"/>
    <w:rsid w:val="009A6CF7"/>
    <w:rsid w:val="009B1415"/>
    <w:rsid w:val="009B490C"/>
    <w:rsid w:val="009C3303"/>
    <w:rsid w:val="009C33D4"/>
    <w:rsid w:val="009C75FD"/>
    <w:rsid w:val="009F7E3B"/>
    <w:rsid w:val="00A00DA6"/>
    <w:rsid w:val="00A05CBF"/>
    <w:rsid w:val="00A10BFE"/>
    <w:rsid w:val="00A14985"/>
    <w:rsid w:val="00A2496F"/>
    <w:rsid w:val="00A24AC2"/>
    <w:rsid w:val="00A31D35"/>
    <w:rsid w:val="00A366EF"/>
    <w:rsid w:val="00A438E5"/>
    <w:rsid w:val="00A506B6"/>
    <w:rsid w:val="00A51EB5"/>
    <w:rsid w:val="00A528C9"/>
    <w:rsid w:val="00A54BAB"/>
    <w:rsid w:val="00A56062"/>
    <w:rsid w:val="00A565EF"/>
    <w:rsid w:val="00A7005E"/>
    <w:rsid w:val="00A74185"/>
    <w:rsid w:val="00A775EF"/>
    <w:rsid w:val="00A839A8"/>
    <w:rsid w:val="00A85655"/>
    <w:rsid w:val="00AA5A61"/>
    <w:rsid w:val="00AD2C9F"/>
    <w:rsid w:val="00AE23DD"/>
    <w:rsid w:val="00AE6F1E"/>
    <w:rsid w:val="00B05B1D"/>
    <w:rsid w:val="00B11278"/>
    <w:rsid w:val="00B133B9"/>
    <w:rsid w:val="00B14402"/>
    <w:rsid w:val="00B16F69"/>
    <w:rsid w:val="00B27C31"/>
    <w:rsid w:val="00B27D5F"/>
    <w:rsid w:val="00B307B4"/>
    <w:rsid w:val="00B32BC7"/>
    <w:rsid w:val="00B34270"/>
    <w:rsid w:val="00B57ADA"/>
    <w:rsid w:val="00B57B83"/>
    <w:rsid w:val="00B61C85"/>
    <w:rsid w:val="00B6340F"/>
    <w:rsid w:val="00B660FA"/>
    <w:rsid w:val="00B7631C"/>
    <w:rsid w:val="00B81CB9"/>
    <w:rsid w:val="00B9280B"/>
    <w:rsid w:val="00BA2EE1"/>
    <w:rsid w:val="00BC341C"/>
    <w:rsid w:val="00BE1A03"/>
    <w:rsid w:val="00BE29BE"/>
    <w:rsid w:val="00C0317E"/>
    <w:rsid w:val="00C03210"/>
    <w:rsid w:val="00C10032"/>
    <w:rsid w:val="00C15A4A"/>
    <w:rsid w:val="00C16506"/>
    <w:rsid w:val="00C35D3A"/>
    <w:rsid w:val="00C37909"/>
    <w:rsid w:val="00C552CF"/>
    <w:rsid w:val="00C60B2E"/>
    <w:rsid w:val="00C631E9"/>
    <w:rsid w:val="00C63F3B"/>
    <w:rsid w:val="00C6427E"/>
    <w:rsid w:val="00C77E12"/>
    <w:rsid w:val="00C8086D"/>
    <w:rsid w:val="00C83A0C"/>
    <w:rsid w:val="00C87382"/>
    <w:rsid w:val="00C90175"/>
    <w:rsid w:val="00C90FB9"/>
    <w:rsid w:val="00C91A04"/>
    <w:rsid w:val="00C92D28"/>
    <w:rsid w:val="00CB3917"/>
    <w:rsid w:val="00CB4C15"/>
    <w:rsid w:val="00CC43BE"/>
    <w:rsid w:val="00CC619C"/>
    <w:rsid w:val="00CE7413"/>
    <w:rsid w:val="00CF01DD"/>
    <w:rsid w:val="00CF5CB2"/>
    <w:rsid w:val="00D25944"/>
    <w:rsid w:val="00D27DA2"/>
    <w:rsid w:val="00D30F55"/>
    <w:rsid w:val="00D31665"/>
    <w:rsid w:val="00D33900"/>
    <w:rsid w:val="00D375EE"/>
    <w:rsid w:val="00D40158"/>
    <w:rsid w:val="00D4105B"/>
    <w:rsid w:val="00D43B2F"/>
    <w:rsid w:val="00D45800"/>
    <w:rsid w:val="00D57C4B"/>
    <w:rsid w:val="00D6014B"/>
    <w:rsid w:val="00D61E9A"/>
    <w:rsid w:val="00D700BE"/>
    <w:rsid w:val="00D82AE2"/>
    <w:rsid w:val="00D872CC"/>
    <w:rsid w:val="00D9231F"/>
    <w:rsid w:val="00D96B58"/>
    <w:rsid w:val="00DA58CB"/>
    <w:rsid w:val="00DA73FE"/>
    <w:rsid w:val="00DB186C"/>
    <w:rsid w:val="00DD3829"/>
    <w:rsid w:val="00DE4908"/>
    <w:rsid w:val="00E076FE"/>
    <w:rsid w:val="00E132C0"/>
    <w:rsid w:val="00E30E4B"/>
    <w:rsid w:val="00E3600B"/>
    <w:rsid w:val="00E51C3B"/>
    <w:rsid w:val="00E528B8"/>
    <w:rsid w:val="00E54C72"/>
    <w:rsid w:val="00E57831"/>
    <w:rsid w:val="00E63779"/>
    <w:rsid w:val="00E63E95"/>
    <w:rsid w:val="00E7091E"/>
    <w:rsid w:val="00E8223E"/>
    <w:rsid w:val="00E83DF1"/>
    <w:rsid w:val="00E962B6"/>
    <w:rsid w:val="00EA392A"/>
    <w:rsid w:val="00EB00C5"/>
    <w:rsid w:val="00EC1510"/>
    <w:rsid w:val="00EC17F2"/>
    <w:rsid w:val="00EC1F6E"/>
    <w:rsid w:val="00EF03C8"/>
    <w:rsid w:val="00F0481C"/>
    <w:rsid w:val="00F13293"/>
    <w:rsid w:val="00F21A5C"/>
    <w:rsid w:val="00F43C34"/>
    <w:rsid w:val="00F53DDE"/>
    <w:rsid w:val="00F739EB"/>
    <w:rsid w:val="00F74638"/>
    <w:rsid w:val="00F869C3"/>
    <w:rsid w:val="00F96683"/>
    <w:rsid w:val="00FA2BE5"/>
    <w:rsid w:val="00FB0329"/>
    <w:rsid w:val="00FC5BD8"/>
    <w:rsid w:val="00FD0013"/>
    <w:rsid w:val="00FE6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082CA"/>
  <w15:docId w15:val="{5F00FFF9-9073-4096-B435-DD5CE1D4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413"/>
    <w:pPr>
      <w:spacing w:after="0" w:line="480" w:lineRule="auto"/>
      <w:jc w:val="left"/>
    </w:pPr>
    <w:rPr>
      <w:rFonts w:ascii="Times New Roman" w:hAnsi="Times New Roman"/>
      <w:sz w:val="24"/>
    </w:rPr>
  </w:style>
  <w:style w:type="paragraph" w:styleId="Heading1">
    <w:name w:val="heading 1"/>
    <w:basedOn w:val="Normal"/>
    <w:next w:val="Normal"/>
    <w:link w:val="Heading1Char"/>
    <w:uiPriority w:val="9"/>
    <w:qFormat/>
    <w:rsid w:val="0086545C"/>
    <w:pPr>
      <w:numPr>
        <w:numId w:val="5"/>
      </w:numPr>
      <w:spacing w:before="240"/>
      <w:ind w:left="360"/>
      <w:outlineLvl w:val="0"/>
    </w:pPr>
    <w:rPr>
      <w:b/>
      <w:spacing w:val="5"/>
      <w:szCs w:val="32"/>
    </w:rPr>
  </w:style>
  <w:style w:type="paragraph" w:styleId="Heading2">
    <w:name w:val="heading 2"/>
    <w:basedOn w:val="Normal"/>
    <w:next w:val="Normal"/>
    <w:link w:val="Heading2Char"/>
    <w:uiPriority w:val="9"/>
    <w:semiHidden/>
    <w:unhideWhenUsed/>
    <w:qFormat/>
    <w:rsid w:val="00093C82"/>
    <w:pPr>
      <w:outlineLvl w:val="1"/>
    </w:pPr>
    <w:rPr>
      <w:smallCaps/>
      <w:spacing w:val="5"/>
      <w:sz w:val="28"/>
      <w:szCs w:val="28"/>
    </w:rPr>
  </w:style>
  <w:style w:type="paragraph" w:styleId="Heading3">
    <w:name w:val="heading 3"/>
    <w:basedOn w:val="Normal"/>
    <w:next w:val="Normal"/>
    <w:link w:val="Heading3Char"/>
    <w:uiPriority w:val="9"/>
    <w:semiHidden/>
    <w:unhideWhenUsed/>
    <w:qFormat/>
    <w:rsid w:val="00093C82"/>
    <w:pPr>
      <w:outlineLvl w:val="2"/>
    </w:pPr>
    <w:rPr>
      <w:smallCaps/>
      <w:spacing w:val="5"/>
      <w:szCs w:val="24"/>
    </w:rPr>
  </w:style>
  <w:style w:type="paragraph" w:styleId="Heading4">
    <w:name w:val="heading 4"/>
    <w:basedOn w:val="Normal"/>
    <w:next w:val="Normal"/>
    <w:link w:val="Heading4Char"/>
    <w:uiPriority w:val="9"/>
    <w:semiHidden/>
    <w:unhideWhenUsed/>
    <w:qFormat/>
    <w:rsid w:val="00093C82"/>
    <w:pPr>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093C82"/>
    <w:pPr>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093C82"/>
    <w:pPr>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093C82"/>
    <w:pPr>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093C82"/>
    <w:pPr>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093C82"/>
    <w:pPr>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45C"/>
    <w:rPr>
      <w:rFonts w:ascii="Times New Roman" w:hAnsi="Times New Roman"/>
      <w:b/>
      <w:spacing w:val="5"/>
      <w:sz w:val="24"/>
      <w:szCs w:val="32"/>
    </w:rPr>
  </w:style>
  <w:style w:type="paragraph" w:styleId="ListParagraph">
    <w:name w:val="List Paragraph"/>
    <w:basedOn w:val="Normal"/>
    <w:uiPriority w:val="34"/>
    <w:qFormat/>
    <w:rsid w:val="00D33900"/>
    <w:pPr>
      <w:ind w:left="720"/>
      <w:contextualSpacing/>
    </w:pPr>
  </w:style>
  <w:style w:type="paragraph" w:styleId="Header">
    <w:name w:val="header"/>
    <w:basedOn w:val="Normal"/>
    <w:link w:val="HeaderChar"/>
    <w:uiPriority w:val="99"/>
    <w:unhideWhenUsed/>
    <w:rsid w:val="00A54BAB"/>
    <w:pPr>
      <w:tabs>
        <w:tab w:val="center" w:pos="4680"/>
        <w:tab w:val="right" w:pos="9360"/>
      </w:tabs>
      <w:spacing w:line="240" w:lineRule="auto"/>
    </w:pPr>
  </w:style>
  <w:style w:type="character" w:customStyle="1" w:styleId="HeaderChar">
    <w:name w:val="Header Char"/>
    <w:basedOn w:val="DefaultParagraphFont"/>
    <w:link w:val="Header"/>
    <w:uiPriority w:val="99"/>
    <w:rsid w:val="00A54BAB"/>
  </w:style>
  <w:style w:type="paragraph" w:styleId="Footer">
    <w:name w:val="footer"/>
    <w:basedOn w:val="Normal"/>
    <w:link w:val="FooterChar"/>
    <w:uiPriority w:val="99"/>
    <w:unhideWhenUsed/>
    <w:rsid w:val="00A54BAB"/>
    <w:pPr>
      <w:tabs>
        <w:tab w:val="center" w:pos="4680"/>
        <w:tab w:val="right" w:pos="9360"/>
      </w:tabs>
      <w:spacing w:line="240" w:lineRule="auto"/>
    </w:pPr>
  </w:style>
  <w:style w:type="character" w:customStyle="1" w:styleId="FooterChar">
    <w:name w:val="Footer Char"/>
    <w:basedOn w:val="DefaultParagraphFont"/>
    <w:link w:val="Footer"/>
    <w:uiPriority w:val="99"/>
    <w:rsid w:val="00A54BAB"/>
  </w:style>
  <w:style w:type="character" w:styleId="CommentReference">
    <w:name w:val="annotation reference"/>
    <w:basedOn w:val="DefaultParagraphFont"/>
    <w:uiPriority w:val="99"/>
    <w:semiHidden/>
    <w:unhideWhenUsed/>
    <w:rsid w:val="003E5AE4"/>
    <w:rPr>
      <w:sz w:val="18"/>
      <w:szCs w:val="18"/>
    </w:rPr>
  </w:style>
  <w:style w:type="paragraph" w:styleId="CommentText">
    <w:name w:val="annotation text"/>
    <w:basedOn w:val="Normal"/>
    <w:link w:val="CommentTextChar"/>
    <w:uiPriority w:val="99"/>
    <w:semiHidden/>
    <w:unhideWhenUsed/>
    <w:rsid w:val="003E5AE4"/>
    <w:pPr>
      <w:spacing w:line="240" w:lineRule="auto"/>
    </w:pPr>
    <w:rPr>
      <w:szCs w:val="24"/>
    </w:rPr>
  </w:style>
  <w:style w:type="character" w:customStyle="1" w:styleId="CommentTextChar">
    <w:name w:val="Comment Text Char"/>
    <w:basedOn w:val="DefaultParagraphFont"/>
    <w:link w:val="CommentText"/>
    <w:uiPriority w:val="99"/>
    <w:semiHidden/>
    <w:rsid w:val="003E5AE4"/>
    <w:rPr>
      <w:sz w:val="24"/>
      <w:szCs w:val="24"/>
    </w:rPr>
  </w:style>
  <w:style w:type="paragraph" w:styleId="CommentSubject">
    <w:name w:val="annotation subject"/>
    <w:basedOn w:val="CommentText"/>
    <w:next w:val="CommentText"/>
    <w:link w:val="CommentSubjectChar"/>
    <w:uiPriority w:val="99"/>
    <w:semiHidden/>
    <w:unhideWhenUsed/>
    <w:rsid w:val="003E5AE4"/>
    <w:rPr>
      <w:b/>
      <w:bCs/>
      <w:sz w:val="20"/>
      <w:szCs w:val="20"/>
    </w:rPr>
  </w:style>
  <w:style w:type="character" w:customStyle="1" w:styleId="CommentSubjectChar">
    <w:name w:val="Comment Subject Char"/>
    <w:basedOn w:val="CommentTextChar"/>
    <w:link w:val="CommentSubject"/>
    <w:uiPriority w:val="99"/>
    <w:semiHidden/>
    <w:rsid w:val="003E5AE4"/>
    <w:rPr>
      <w:b/>
      <w:bCs/>
      <w:sz w:val="20"/>
      <w:szCs w:val="20"/>
    </w:rPr>
  </w:style>
  <w:style w:type="paragraph" w:styleId="BalloonText">
    <w:name w:val="Balloon Text"/>
    <w:basedOn w:val="Normal"/>
    <w:link w:val="BalloonTextChar"/>
    <w:uiPriority w:val="99"/>
    <w:semiHidden/>
    <w:unhideWhenUsed/>
    <w:rsid w:val="003E5AE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5AE4"/>
    <w:rPr>
      <w:rFonts w:ascii="Lucida Grande" w:hAnsi="Lucida Grande" w:cs="Lucida Grande"/>
      <w:sz w:val="18"/>
      <w:szCs w:val="18"/>
    </w:rPr>
  </w:style>
  <w:style w:type="character" w:customStyle="1" w:styleId="Heading2Char">
    <w:name w:val="Heading 2 Char"/>
    <w:basedOn w:val="DefaultParagraphFont"/>
    <w:link w:val="Heading2"/>
    <w:uiPriority w:val="9"/>
    <w:semiHidden/>
    <w:rsid w:val="00093C82"/>
    <w:rPr>
      <w:smallCaps/>
      <w:spacing w:val="5"/>
      <w:sz w:val="28"/>
      <w:szCs w:val="28"/>
    </w:rPr>
  </w:style>
  <w:style w:type="character" w:customStyle="1" w:styleId="Heading3Char">
    <w:name w:val="Heading 3 Char"/>
    <w:basedOn w:val="DefaultParagraphFont"/>
    <w:link w:val="Heading3"/>
    <w:uiPriority w:val="9"/>
    <w:semiHidden/>
    <w:rsid w:val="00093C82"/>
    <w:rPr>
      <w:smallCaps/>
      <w:spacing w:val="5"/>
      <w:sz w:val="24"/>
      <w:szCs w:val="24"/>
    </w:rPr>
  </w:style>
  <w:style w:type="character" w:customStyle="1" w:styleId="Heading4Char">
    <w:name w:val="Heading 4 Char"/>
    <w:basedOn w:val="DefaultParagraphFont"/>
    <w:link w:val="Heading4"/>
    <w:uiPriority w:val="9"/>
    <w:semiHidden/>
    <w:rsid w:val="00093C82"/>
    <w:rPr>
      <w:i/>
      <w:iCs/>
      <w:smallCaps/>
      <w:spacing w:val="10"/>
      <w:sz w:val="22"/>
      <w:szCs w:val="22"/>
    </w:rPr>
  </w:style>
  <w:style w:type="character" w:customStyle="1" w:styleId="Heading5Char">
    <w:name w:val="Heading 5 Char"/>
    <w:basedOn w:val="DefaultParagraphFont"/>
    <w:link w:val="Heading5"/>
    <w:uiPriority w:val="9"/>
    <w:semiHidden/>
    <w:rsid w:val="00093C82"/>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093C82"/>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093C82"/>
    <w:rPr>
      <w:b/>
      <w:bCs/>
      <w:smallCaps/>
      <w:color w:val="70AD47" w:themeColor="accent6"/>
      <w:spacing w:val="10"/>
    </w:rPr>
  </w:style>
  <w:style w:type="character" w:customStyle="1" w:styleId="Heading8Char">
    <w:name w:val="Heading 8 Char"/>
    <w:basedOn w:val="DefaultParagraphFont"/>
    <w:link w:val="Heading8"/>
    <w:uiPriority w:val="9"/>
    <w:semiHidden/>
    <w:rsid w:val="00093C82"/>
    <w:rPr>
      <w:b/>
      <w:bCs/>
      <w:i/>
      <w:iCs/>
      <w:smallCaps/>
      <w:color w:val="538135" w:themeColor="accent6" w:themeShade="BF"/>
    </w:rPr>
  </w:style>
  <w:style w:type="character" w:customStyle="1" w:styleId="Heading9Char">
    <w:name w:val="Heading 9 Char"/>
    <w:basedOn w:val="DefaultParagraphFont"/>
    <w:link w:val="Heading9"/>
    <w:uiPriority w:val="9"/>
    <w:semiHidden/>
    <w:rsid w:val="00093C82"/>
    <w:rPr>
      <w:b/>
      <w:bCs/>
      <w:i/>
      <w:iCs/>
      <w:smallCaps/>
      <w:color w:val="385623" w:themeColor="accent6" w:themeShade="80"/>
    </w:rPr>
  </w:style>
  <w:style w:type="paragraph" w:styleId="Caption">
    <w:name w:val="caption"/>
    <w:basedOn w:val="Normal"/>
    <w:next w:val="Normal"/>
    <w:uiPriority w:val="35"/>
    <w:semiHidden/>
    <w:unhideWhenUsed/>
    <w:qFormat/>
    <w:rsid w:val="00093C82"/>
    <w:rPr>
      <w:b/>
      <w:bCs/>
      <w:caps/>
      <w:sz w:val="16"/>
      <w:szCs w:val="16"/>
    </w:rPr>
  </w:style>
  <w:style w:type="paragraph" w:styleId="Title">
    <w:name w:val="Title"/>
    <w:basedOn w:val="Normal"/>
    <w:next w:val="Normal"/>
    <w:link w:val="TitleChar"/>
    <w:uiPriority w:val="10"/>
    <w:qFormat/>
    <w:rsid w:val="00093C82"/>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093C82"/>
    <w:rPr>
      <w:smallCaps/>
      <w:color w:val="262626" w:themeColor="text1" w:themeTint="D9"/>
      <w:sz w:val="52"/>
      <w:szCs w:val="52"/>
    </w:rPr>
  </w:style>
  <w:style w:type="paragraph" w:styleId="Subtitle">
    <w:name w:val="Subtitle"/>
    <w:basedOn w:val="Normal"/>
    <w:next w:val="Normal"/>
    <w:link w:val="SubtitleChar"/>
    <w:uiPriority w:val="11"/>
    <w:qFormat/>
    <w:rsid w:val="00093C82"/>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93C82"/>
    <w:rPr>
      <w:rFonts w:asciiTheme="majorHAnsi" w:eastAsiaTheme="majorEastAsia" w:hAnsiTheme="majorHAnsi" w:cstheme="majorBidi"/>
    </w:rPr>
  </w:style>
  <w:style w:type="character" w:styleId="Strong">
    <w:name w:val="Strong"/>
    <w:uiPriority w:val="22"/>
    <w:qFormat/>
    <w:rsid w:val="00093C82"/>
    <w:rPr>
      <w:b/>
      <w:bCs/>
      <w:color w:val="70AD47" w:themeColor="accent6"/>
    </w:rPr>
  </w:style>
  <w:style w:type="character" w:styleId="Emphasis">
    <w:name w:val="Emphasis"/>
    <w:uiPriority w:val="20"/>
    <w:qFormat/>
    <w:rsid w:val="00093C82"/>
    <w:rPr>
      <w:b/>
      <w:bCs/>
      <w:i/>
      <w:iCs/>
      <w:spacing w:val="10"/>
    </w:rPr>
  </w:style>
  <w:style w:type="paragraph" w:styleId="NoSpacing">
    <w:name w:val="No Spacing"/>
    <w:uiPriority w:val="1"/>
    <w:qFormat/>
    <w:rsid w:val="00093C82"/>
    <w:pPr>
      <w:spacing w:after="0" w:line="240" w:lineRule="auto"/>
    </w:pPr>
  </w:style>
  <w:style w:type="paragraph" w:styleId="Quote">
    <w:name w:val="Quote"/>
    <w:basedOn w:val="Normal"/>
    <w:next w:val="Normal"/>
    <w:link w:val="QuoteChar"/>
    <w:uiPriority w:val="29"/>
    <w:qFormat/>
    <w:rsid w:val="00093C82"/>
    <w:rPr>
      <w:i/>
      <w:iCs/>
    </w:rPr>
  </w:style>
  <w:style w:type="character" w:customStyle="1" w:styleId="QuoteChar">
    <w:name w:val="Quote Char"/>
    <w:basedOn w:val="DefaultParagraphFont"/>
    <w:link w:val="Quote"/>
    <w:uiPriority w:val="29"/>
    <w:rsid w:val="00093C82"/>
    <w:rPr>
      <w:i/>
      <w:iCs/>
    </w:rPr>
  </w:style>
  <w:style w:type="paragraph" w:styleId="IntenseQuote">
    <w:name w:val="Intense Quote"/>
    <w:basedOn w:val="Normal"/>
    <w:next w:val="Normal"/>
    <w:link w:val="IntenseQuoteChar"/>
    <w:uiPriority w:val="30"/>
    <w:qFormat/>
    <w:rsid w:val="00093C82"/>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93C82"/>
    <w:rPr>
      <w:b/>
      <w:bCs/>
      <w:i/>
      <w:iCs/>
    </w:rPr>
  </w:style>
  <w:style w:type="character" w:styleId="SubtleEmphasis">
    <w:name w:val="Subtle Emphasis"/>
    <w:uiPriority w:val="19"/>
    <w:qFormat/>
    <w:rsid w:val="00093C82"/>
    <w:rPr>
      <w:i/>
      <w:iCs/>
    </w:rPr>
  </w:style>
  <w:style w:type="character" w:styleId="IntenseEmphasis">
    <w:name w:val="Intense Emphasis"/>
    <w:uiPriority w:val="21"/>
    <w:qFormat/>
    <w:rsid w:val="00093C82"/>
    <w:rPr>
      <w:b/>
      <w:bCs/>
      <w:i/>
      <w:iCs/>
      <w:color w:val="70AD47" w:themeColor="accent6"/>
      <w:spacing w:val="10"/>
    </w:rPr>
  </w:style>
  <w:style w:type="character" w:styleId="SubtleReference">
    <w:name w:val="Subtle Reference"/>
    <w:uiPriority w:val="31"/>
    <w:qFormat/>
    <w:rsid w:val="00093C82"/>
    <w:rPr>
      <w:b/>
      <w:bCs/>
    </w:rPr>
  </w:style>
  <w:style w:type="character" w:styleId="IntenseReference">
    <w:name w:val="Intense Reference"/>
    <w:uiPriority w:val="32"/>
    <w:qFormat/>
    <w:rsid w:val="00093C82"/>
    <w:rPr>
      <w:b/>
      <w:bCs/>
      <w:smallCaps/>
      <w:spacing w:val="5"/>
      <w:sz w:val="22"/>
      <w:szCs w:val="22"/>
      <w:u w:val="single"/>
    </w:rPr>
  </w:style>
  <w:style w:type="character" w:styleId="BookTitle">
    <w:name w:val="Book Title"/>
    <w:uiPriority w:val="33"/>
    <w:qFormat/>
    <w:rsid w:val="00093C8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93C82"/>
    <w:pPr>
      <w:outlineLvl w:val="9"/>
    </w:pPr>
  </w:style>
  <w:style w:type="paragraph" w:styleId="FootnoteText">
    <w:name w:val="footnote text"/>
    <w:basedOn w:val="Normal"/>
    <w:link w:val="FootnoteTextChar"/>
    <w:uiPriority w:val="99"/>
    <w:semiHidden/>
    <w:unhideWhenUsed/>
    <w:rsid w:val="00093C82"/>
    <w:pPr>
      <w:spacing w:line="240" w:lineRule="auto"/>
    </w:pPr>
  </w:style>
  <w:style w:type="character" w:customStyle="1" w:styleId="FootnoteTextChar">
    <w:name w:val="Footnote Text Char"/>
    <w:basedOn w:val="DefaultParagraphFont"/>
    <w:link w:val="FootnoteText"/>
    <w:uiPriority w:val="99"/>
    <w:semiHidden/>
    <w:rsid w:val="00093C82"/>
  </w:style>
  <w:style w:type="character" w:styleId="FootnoteReference">
    <w:name w:val="footnote reference"/>
    <w:basedOn w:val="DefaultParagraphFont"/>
    <w:uiPriority w:val="99"/>
    <w:semiHidden/>
    <w:unhideWhenUsed/>
    <w:rsid w:val="00093C82"/>
    <w:rPr>
      <w:vertAlign w:val="superscript"/>
    </w:rPr>
  </w:style>
  <w:style w:type="character" w:styleId="PlaceholderText">
    <w:name w:val="Placeholder Text"/>
    <w:basedOn w:val="DefaultParagraphFont"/>
    <w:uiPriority w:val="99"/>
    <w:semiHidden/>
    <w:rsid w:val="005040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58848">
      <w:bodyDiv w:val="1"/>
      <w:marLeft w:val="0"/>
      <w:marRight w:val="0"/>
      <w:marTop w:val="0"/>
      <w:marBottom w:val="0"/>
      <w:divBdr>
        <w:top w:val="none" w:sz="0" w:space="0" w:color="auto"/>
        <w:left w:val="none" w:sz="0" w:space="0" w:color="auto"/>
        <w:bottom w:val="none" w:sz="0" w:space="0" w:color="auto"/>
        <w:right w:val="none" w:sz="0" w:space="0" w:color="auto"/>
      </w:divBdr>
    </w:div>
    <w:div w:id="186792418">
      <w:bodyDiv w:val="1"/>
      <w:marLeft w:val="0"/>
      <w:marRight w:val="0"/>
      <w:marTop w:val="0"/>
      <w:marBottom w:val="0"/>
      <w:divBdr>
        <w:top w:val="none" w:sz="0" w:space="0" w:color="auto"/>
        <w:left w:val="none" w:sz="0" w:space="0" w:color="auto"/>
        <w:bottom w:val="none" w:sz="0" w:space="0" w:color="auto"/>
        <w:right w:val="none" w:sz="0" w:space="0" w:color="auto"/>
      </w:divBdr>
    </w:div>
    <w:div w:id="320357540">
      <w:bodyDiv w:val="1"/>
      <w:marLeft w:val="0"/>
      <w:marRight w:val="0"/>
      <w:marTop w:val="0"/>
      <w:marBottom w:val="0"/>
      <w:divBdr>
        <w:top w:val="none" w:sz="0" w:space="0" w:color="auto"/>
        <w:left w:val="none" w:sz="0" w:space="0" w:color="auto"/>
        <w:bottom w:val="none" w:sz="0" w:space="0" w:color="auto"/>
        <w:right w:val="none" w:sz="0" w:space="0" w:color="auto"/>
      </w:divBdr>
    </w:div>
    <w:div w:id="779449609">
      <w:bodyDiv w:val="1"/>
      <w:marLeft w:val="0"/>
      <w:marRight w:val="0"/>
      <w:marTop w:val="0"/>
      <w:marBottom w:val="0"/>
      <w:divBdr>
        <w:top w:val="none" w:sz="0" w:space="0" w:color="auto"/>
        <w:left w:val="none" w:sz="0" w:space="0" w:color="auto"/>
        <w:bottom w:val="none" w:sz="0" w:space="0" w:color="auto"/>
        <w:right w:val="none" w:sz="0" w:space="0" w:color="auto"/>
      </w:divBdr>
    </w:div>
    <w:div w:id="904340806">
      <w:bodyDiv w:val="1"/>
      <w:marLeft w:val="0"/>
      <w:marRight w:val="0"/>
      <w:marTop w:val="0"/>
      <w:marBottom w:val="0"/>
      <w:divBdr>
        <w:top w:val="none" w:sz="0" w:space="0" w:color="auto"/>
        <w:left w:val="none" w:sz="0" w:space="0" w:color="auto"/>
        <w:bottom w:val="none" w:sz="0" w:space="0" w:color="auto"/>
        <w:right w:val="none" w:sz="0" w:space="0" w:color="auto"/>
      </w:divBdr>
    </w:div>
    <w:div w:id="1015154590">
      <w:bodyDiv w:val="1"/>
      <w:marLeft w:val="0"/>
      <w:marRight w:val="0"/>
      <w:marTop w:val="0"/>
      <w:marBottom w:val="0"/>
      <w:divBdr>
        <w:top w:val="none" w:sz="0" w:space="0" w:color="auto"/>
        <w:left w:val="none" w:sz="0" w:space="0" w:color="auto"/>
        <w:bottom w:val="none" w:sz="0" w:space="0" w:color="auto"/>
        <w:right w:val="none" w:sz="0" w:space="0" w:color="auto"/>
      </w:divBdr>
    </w:div>
    <w:div w:id="1356005455">
      <w:bodyDiv w:val="1"/>
      <w:marLeft w:val="0"/>
      <w:marRight w:val="0"/>
      <w:marTop w:val="0"/>
      <w:marBottom w:val="0"/>
      <w:divBdr>
        <w:top w:val="none" w:sz="0" w:space="0" w:color="auto"/>
        <w:left w:val="none" w:sz="0" w:space="0" w:color="auto"/>
        <w:bottom w:val="none" w:sz="0" w:space="0" w:color="auto"/>
        <w:right w:val="none" w:sz="0" w:space="0" w:color="auto"/>
      </w:divBdr>
    </w:div>
    <w:div w:id="1365666384">
      <w:bodyDiv w:val="1"/>
      <w:marLeft w:val="0"/>
      <w:marRight w:val="0"/>
      <w:marTop w:val="0"/>
      <w:marBottom w:val="0"/>
      <w:divBdr>
        <w:top w:val="none" w:sz="0" w:space="0" w:color="auto"/>
        <w:left w:val="none" w:sz="0" w:space="0" w:color="auto"/>
        <w:bottom w:val="none" w:sz="0" w:space="0" w:color="auto"/>
        <w:right w:val="none" w:sz="0" w:space="0" w:color="auto"/>
      </w:divBdr>
    </w:div>
    <w:div w:id="1606959051">
      <w:bodyDiv w:val="1"/>
      <w:marLeft w:val="0"/>
      <w:marRight w:val="0"/>
      <w:marTop w:val="0"/>
      <w:marBottom w:val="0"/>
      <w:divBdr>
        <w:top w:val="none" w:sz="0" w:space="0" w:color="auto"/>
        <w:left w:val="none" w:sz="0" w:space="0" w:color="auto"/>
        <w:bottom w:val="none" w:sz="0" w:space="0" w:color="auto"/>
        <w:right w:val="none" w:sz="0" w:space="0" w:color="auto"/>
      </w:divBdr>
    </w:div>
    <w:div w:id="1710951818">
      <w:bodyDiv w:val="1"/>
      <w:marLeft w:val="0"/>
      <w:marRight w:val="0"/>
      <w:marTop w:val="0"/>
      <w:marBottom w:val="0"/>
      <w:divBdr>
        <w:top w:val="none" w:sz="0" w:space="0" w:color="auto"/>
        <w:left w:val="none" w:sz="0" w:space="0" w:color="auto"/>
        <w:bottom w:val="none" w:sz="0" w:space="0" w:color="auto"/>
        <w:right w:val="none" w:sz="0" w:space="0" w:color="auto"/>
      </w:divBdr>
    </w:div>
    <w:div w:id="1798717902">
      <w:bodyDiv w:val="1"/>
      <w:marLeft w:val="0"/>
      <w:marRight w:val="0"/>
      <w:marTop w:val="0"/>
      <w:marBottom w:val="0"/>
      <w:divBdr>
        <w:top w:val="none" w:sz="0" w:space="0" w:color="auto"/>
        <w:left w:val="none" w:sz="0" w:space="0" w:color="auto"/>
        <w:bottom w:val="none" w:sz="0" w:space="0" w:color="auto"/>
        <w:right w:val="none" w:sz="0" w:space="0" w:color="auto"/>
      </w:divBdr>
    </w:div>
    <w:div w:id="1835603064">
      <w:bodyDiv w:val="1"/>
      <w:marLeft w:val="0"/>
      <w:marRight w:val="0"/>
      <w:marTop w:val="0"/>
      <w:marBottom w:val="0"/>
      <w:divBdr>
        <w:top w:val="none" w:sz="0" w:space="0" w:color="auto"/>
        <w:left w:val="none" w:sz="0" w:space="0" w:color="auto"/>
        <w:bottom w:val="none" w:sz="0" w:space="0" w:color="auto"/>
        <w:right w:val="none" w:sz="0" w:space="0" w:color="auto"/>
      </w:divBdr>
    </w:div>
    <w:div w:id="1869560863">
      <w:bodyDiv w:val="1"/>
      <w:marLeft w:val="0"/>
      <w:marRight w:val="0"/>
      <w:marTop w:val="0"/>
      <w:marBottom w:val="0"/>
      <w:divBdr>
        <w:top w:val="none" w:sz="0" w:space="0" w:color="auto"/>
        <w:left w:val="none" w:sz="0" w:space="0" w:color="auto"/>
        <w:bottom w:val="none" w:sz="0" w:space="0" w:color="auto"/>
        <w:right w:val="none" w:sz="0" w:space="0" w:color="auto"/>
      </w:divBdr>
    </w:div>
    <w:div w:id="200870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2C22F-3319-42FF-AEE4-56FB70A46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15</Pages>
  <Words>3997</Words>
  <Characters>22789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17</cp:revision>
  <dcterms:created xsi:type="dcterms:W3CDTF">2015-05-11T14:33:00Z</dcterms:created>
  <dcterms:modified xsi:type="dcterms:W3CDTF">2015-05-11T16:28:00Z</dcterms:modified>
</cp:coreProperties>
</file>