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A50E" w14:textId="6B7C4F9B" w:rsidR="00DD3C24" w:rsidRPr="00EF5C2F" w:rsidRDefault="00000000">
      <w:pPr>
        <w:pStyle w:val="Heading1"/>
        <w:rPr>
          <w:rFonts w:ascii="Arial" w:hAnsi="Arial" w:cs="Arial"/>
        </w:rPr>
      </w:pPr>
      <w:bookmarkStart w:id="0" w:name="X380ca7b49e90e8d9875322a8a71e84b14f6311c"/>
      <w:r w:rsidRPr="00EF5C2F">
        <w:rPr>
          <w:rFonts w:ascii="Arial" w:hAnsi="Arial" w:cs="Arial"/>
        </w:rPr>
        <w:t>Multi-Sensor Satellite-Derived Chlorophyll Time Series to Support Water Quality Modeling of Data-Limited Lakes and Reservoirs</w:t>
      </w:r>
    </w:p>
    <w:p w14:paraId="0F9AC1F1" w14:textId="77777777" w:rsidR="00DD3C24" w:rsidRPr="00EF5C2F" w:rsidRDefault="00000000" w:rsidP="006D7268">
      <w:pPr>
        <w:pStyle w:val="Heading2"/>
      </w:pPr>
      <w:bookmarkStart w:id="1" w:name="introduction"/>
      <w:r w:rsidRPr="00EF5C2F">
        <w:t>1. Introduction</w:t>
      </w:r>
    </w:p>
    <w:p w14:paraId="3F0F0568" w14:textId="77777777" w:rsidR="00DD3C24" w:rsidRPr="00EF5C2F" w:rsidRDefault="00000000">
      <w:pPr>
        <w:pStyle w:val="Heading3"/>
        <w:rPr>
          <w:rFonts w:ascii="Arial" w:hAnsi="Arial" w:cs="Arial"/>
        </w:rPr>
      </w:pPr>
      <w:bookmarkStart w:id="2" w:name="background"/>
      <w:r w:rsidRPr="00EF5C2F">
        <w:rPr>
          <w:rFonts w:ascii="Arial" w:hAnsi="Arial" w:cs="Arial"/>
        </w:rPr>
        <w:t>1.1 Background</w:t>
      </w:r>
    </w:p>
    <w:p w14:paraId="3E4F2BDE" w14:textId="381F5DE6" w:rsidR="00DD3C24" w:rsidRPr="00EF5C2F" w:rsidRDefault="00000000">
      <w:pPr>
        <w:pStyle w:val="FirstParagraph"/>
        <w:rPr>
          <w:rFonts w:ascii="Arial" w:hAnsi="Arial" w:cs="Arial"/>
        </w:rPr>
      </w:pPr>
      <w:r w:rsidRPr="00EF5C2F">
        <w:rPr>
          <w:rFonts w:ascii="Arial" w:hAnsi="Arial" w:cs="Arial"/>
        </w:rPr>
        <w:t>Harmful algal blooms (HABs) have become a persistent water quality problem (Huisman et al.</w:t>
      </w:r>
      <w:r w:rsidR="00D1775E">
        <w:rPr>
          <w:rFonts w:ascii="Arial" w:hAnsi="Arial" w:cs="Arial"/>
        </w:rPr>
        <w:t xml:space="preserve">, </w:t>
      </w:r>
      <w:r w:rsidRPr="00EF5C2F">
        <w:rPr>
          <w:rFonts w:ascii="Arial" w:hAnsi="Arial" w:cs="Arial"/>
        </w:rPr>
        <w:t xml:space="preserve">2018; </w:t>
      </w:r>
      <w:proofErr w:type="spellStart"/>
      <w:r w:rsidRPr="00EF5C2F">
        <w:rPr>
          <w:rFonts w:ascii="Arial" w:hAnsi="Arial" w:cs="Arial"/>
        </w:rPr>
        <w:t>Paerl</w:t>
      </w:r>
      <w:proofErr w:type="spellEnd"/>
      <w:r w:rsidRPr="00EF5C2F">
        <w:rPr>
          <w:rFonts w:ascii="Arial" w:hAnsi="Arial" w:cs="Arial"/>
        </w:rPr>
        <w:t xml:space="preserve"> and Otten</w:t>
      </w:r>
      <w:r w:rsidR="00D1775E">
        <w:rPr>
          <w:rFonts w:ascii="Arial" w:hAnsi="Arial" w:cs="Arial"/>
        </w:rPr>
        <w:t xml:space="preserve">, </w:t>
      </w:r>
      <w:r w:rsidRPr="00EF5C2F">
        <w:rPr>
          <w:rFonts w:ascii="Arial" w:hAnsi="Arial" w:cs="Arial"/>
        </w:rPr>
        <w:t>2013). In the United States, Lake Erie’s 2014 bloom contaminated Toledo’s drinking water supply, affecting over 400,000 residents (Steffen et al.</w:t>
      </w:r>
      <w:r w:rsidR="00D1775E">
        <w:rPr>
          <w:rFonts w:ascii="Arial" w:hAnsi="Arial" w:cs="Arial"/>
        </w:rPr>
        <w:t xml:space="preserve">, </w:t>
      </w:r>
      <w:r w:rsidRPr="00EF5C2F">
        <w:rPr>
          <w:rFonts w:ascii="Arial" w:hAnsi="Arial" w:cs="Arial"/>
        </w:rPr>
        <w:t xml:space="preserve">2017). In the Pacific Northwest, Upper Klamath Lake experiences massive blooms of </w:t>
      </w:r>
      <w:r w:rsidRPr="00EF5C2F">
        <w:rPr>
          <w:rFonts w:ascii="Arial" w:hAnsi="Arial" w:cs="Arial"/>
          <w:i/>
          <w:iCs/>
        </w:rPr>
        <w:t>Aphanizomenon flos-aquae</w:t>
      </w:r>
      <w:r w:rsidRPr="00EF5C2F">
        <w:rPr>
          <w:rFonts w:ascii="Arial" w:hAnsi="Arial" w:cs="Arial"/>
        </w:rPr>
        <w:t xml:space="preserve"> that routinely exceed </w:t>
      </w:r>
      <m:oMath>
        <m:r>
          <w:rPr>
            <w:rFonts w:ascii="Cambria Math" w:hAnsi="Cambria Math" w:cs="Arial"/>
          </w:rPr>
          <m:t>100 μ</m:t>
        </m:r>
        <m:r>
          <m:rPr>
            <m:nor/>
          </m:rPr>
          <w:rPr>
            <w:rFonts w:ascii="Arial" w:hAnsi="Arial" w:cs="Arial"/>
          </w:rPr>
          <m:t>g</m:t>
        </m:r>
        <m:r>
          <w:rPr>
            <w:rFonts w:ascii="Cambria Math" w:hAnsi="Cambria Math" w:cs="Arial"/>
          </w:rPr>
          <m:t> </m:t>
        </m:r>
        <m:sSup>
          <m:sSupPr>
            <m:ctrlPr>
              <w:rPr>
                <w:rFonts w:ascii="Cambria Math" w:hAnsi="Cambria Math" w:cs="Arial"/>
              </w:rPr>
            </m:ctrlPr>
          </m:sSupPr>
          <m:e>
            <m:r>
              <m:rPr>
                <m:nor/>
              </m:rPr>
              <w:rPr>
                <w:rFonts w:ascii="Arial" w:hAnsi="Arial" w:cs="Arial"/>
              </w:rPr>
              <m:t>L</m:t>
            </m:r>
          </m:e>
          <m:sup>
            <m:r>
              <m:rPr>
                <m:sty m:val="p"/>
              </m:rPr>
              <w:rPr>
                <w:rFonts w:ascii="Cambria Math" w:hAnsi="Cambria Math" w:cs="Arial"/>
              </w:rPr>
              <m:t>-</m:t>
            </m:r>
            <m:r>
              <w:rPr>
                <w:rFonts w:ascii="Cambria Math" w:hAnsi="Cambria Math" w:cs="Arial"/>
              </w:rPr>
              <m:t>1</m:t>
            </m:r>
          </m:sup>
        </m:sSup>
      </m:oMath>
      <w:r w:rsidRPr="00EF5C2F">
        <w:rPr>
          <w:rFonts w:ascii="Arial" w:hAnsi="Arial" w:cs="Arial"/>
        </w:rPr>
        <w:t xml:space="preserve"> chlorophyll-a and contribute to fish kills of endangered suckers (Eldridge et al.</w:t>
      </w:r>
      <w:r w:rsidR="00D1775E">
        <w:rPr>
          <w:rFonts w:ascii="Arial" w:hAnsi="Arial" w:cs="Arial"/>
        </w:rPr>
        <w:t xml:space="preserve">, </w:t>
      </w:r>
      <w:r w:rsidRPr="00EF5C2F">
        <w:rPr>
          <w:rFonts w:ascii="Arial" w:hAnsi="Arial" w:cs="Arial"/>
        </w:rPr>
        <w:t>2012). Detroit Lake in Oregon, which supplies drinking water to Salem, has experienced recurring cyanobacterial blooms since 2018, prompting multiple health advisories. Lake Okeechobee in Florida faces near-annual toxic blooms that impact both freshwater and coastal ecosystems when released to estuaries (</w:t>
      </w:r>
      <w:proofErr w:type="spellStart"/>
      <w:r w:rsidRPr="00EF5C2F">
        <w:rPr>
          <w:rFonts w:ascii="Arial" w:hAnsi="Arial" w:cs="Arial"/>
        </w:rPr>
        <w:t>Phlips</w:t>
      </w:r>
      <w:proofErr w:type="spellEnd"/>
      <w:r w:rsidRPr="00EF5C2F">
        <w:rPr>
          <w:rFonts w:ascii="Arial" w:hAnsi="Arial" w:cs="Arial"/>
        </w:rPr>
        <w:t xml:space="preserve"> et al.</w:t>
      </w:r>
      <w:r w:rsidR="00D1775E">
        <w:rPr>
          <w:rFonts w:ascii="Arial" w:hAnsi="Arial" w:cs="Arial"/>
        </w:rPr>
        <w:t xml:space="preserve">, </w:t>
      </w:r>
      <w:r w:rsidRPr="00EF5C2F">
        <w:rPr>
          <w:rFonts w:ascii="Arial" w:hAnsi="Arial" w:cs="Arial"/>
        </w:rPr>
        <w:t>2010). These blooms threaten drinking water supplies, close beaches, and harm aquatic ecosystems (Brooks et al.</w:t>
      </w:r>
      <w:r w:rsidR="00D1775E">
        <w:rPr>
          <w:rFonts w:ascii="Arial" w:hAnsi="Arial" w:cs="Arial"/>
        </w:rPr>
        <w:t xml:space="preserve">, </w:t>
      </w:r>
      <w:r w:rsidRPr="00EF5C2F">
        <w:rPr>
          <w:rFonts w:ascii="Arial" w:hAnsi="Arial" w:cs="Arial"/>
        </w:rPr>
        <w:t>2016; Carmichael and Boyer</w:t>
      </w:r>
      <w:r w:rsidR="00D1775E">
        <w:rPr>
          <w:rFonts w:ascii="Arial" w:hAnsi="Arial" w:cs="Arial"/>
        </w:rPr>
        <w:t xml:space="preserve">, </w:t>
      </w:r>
      <w:r w:rsidRPr="00EF5C2F">
        <w:rPr>
          <w:rFonts w:ascii="Arial" w:hAnsi="Arial" w:cs="Arial"/>
        </w:rPr>
        <w:t>2016). Process-based water quality models help scientists and managers understand bloom dynamics and test management strategies, but these models require accurate calibration data, especially chlorophyll-a measurements that indicate algal biomass.</w:t>
      </w:r>
    </w:p>
    <w:p w14:paraId="7E52A941" w14:textId="77777777" w:rsidR="00DD3C24" w:rsidRPr="00EF5C2F" w:rsidRDefault="00000000">
      <w:pPr>
        <w:pStyle w:val="BodyText"/>
        <w:rPr>
          <w:rFonts w:ascii="Arial" w:hAnsi="Arial" w:cs="Arial"/>
        </w:rPr>
      </w:pPr>
      <w:r w:rsidRPr="00EF5C2F">
        <w:rPr>
          <w:rFonts w:ascii="Arial" w:hAnsi="Arial" w:cs="Arial"/>
        </w:rPr>
        <w:t>Obtaining sufficient chlorophyll data for model calibration remains a fundamental challenge in reservoir management (Siebers et al., 2025). Traditional monitoring programs rely on grab samples and automated sensors, but many reservoirs lack the comprehensive spatial and temporal coverage needed for robust model calibration. Field sampling is labor intensive and typically captures conditions at limited points and times. Automated sensors can provide continuous data but require regular maintenance and quality assurance. Budget constraints, accessibility issues, and competing operational priorities often result in data gaps that compromise modeling efforts.</w:t>
      </w:r>
    </w:p>
    <w:p w14:paraId="44341900" w14:textId="1381CC16" w:rsidR="00DD3C24" w:rsidRPr="00EF5C2F" w:rsidRDefault="00000000">
      <w:pPr>
        <w:pStyle w:val="BodyText"/>
        <w:rPr>
          <w:rFonts w:ascii="Arial" w:hAnsi="Arial" w:cs="Arial"/>
        </w:rPr>
      </w:pPr>
      <w:r w:rsidRPr="00EF5C2F">
        <w:rPr>
          <w:rFonts w:ascii="Arial" w:hAnsi="Arial" w:cs="Arial"/>
        </w:rPr>
        <w:t xml:space="preserve">This study presents a practical solution using satellite remote sensing to generate chlorophyll time series for model calibration. We demonstrate this approach using Detroit Lake, Oregon. CE-QUAL-W2 is a hydrodynamic and water quality model that represents water bodies in two dimensions: longitudinal and vertical. Developed by the Environmental Laboratory </w:t>
      </w:r>
      <w:r w:rsidR="006D7268">
        <w:rPr>
          <w:rFonts w:ascii="Arial" w:hAnsi="Arial" w:cs="Arial"/>
        </w:rPr>
        <w:t xml:space="preserve">at the </w:t>
      </w:r>
      <w:r w:rsidRPr="00EF5C2F">
        <w:rPr>
          <w:rFonts w:ascii="Arial" w:hAnsi="Arial" w:cs="Arial"/>
        </w:rPr>
        <w:t xml:space="preserve">U.S. Army Corps of Engineers’ Engineer Research and Development Center (ERDC), CE-QUAL-W2 has become a standard tool for simulating stratified systems including reservoirs, lakes, rivers, and estuaries. The model’s strength lies in its ability to capture vertical temperature stratification and longitudinal variations caused by inflows, outflows, mixing processes, and biogeochemical transformations. CE-QUAL-W2 simulates fundamental water quality variables including temperature, dissolved oxygen, nutrients (nitrogen and phosphorus species), phytoplankton, and organic matter. Additional capabilities allow users to evaluate sediment-water </w:t>
      </w:r>
      <w:r w:rsidRPr="00EF5C2F">
        <w:rPr>
          <w:rFonts w:ascii="Arial" w:hAnsi="Arial" w:cs="Arial"/>
        </w:rPr>
        <w:lastRenderedPageBreak/>
        <w:t>interactions, fish habitat conditions, and the effects of reservoir operations such as selective withdrawal and aeration systems. CE-QUAL-W2 can simulate multiple algal groups, making it particularly relevant for studying phytoplankton community dynamics and bloom formation. Since its development, CE-QUAL-W2 has been applied to more than 1,100 water bodies globally. The model serves diverse purposes: evaluating infrastructure designs, planning reservoir operations, assessing environmental impacts, meeting regulatory requirements, and conducting research on aquatic ecosystems.</w:t>
      </w:r>
    </w:p>
    <w:p w14:paraId="1DAFEE8B" w14:textId="77777777" w:rsidR="00DD3C24" w:rsidRPr="00EF5C2F" w:rsidRDefault="00000000">
      <w:pPr>
        <w:pStyle w:val="BodyText"/>
        <w:rPr>
          <w:rFonts w:ascii="Arial" w:hAnsi="Arial" w:cs="Arial"/>
        </w:rPr>
      </w:pPr>
      <w:r w:rsidRPr="00EF5C2F">
        <w:rPr>
          <w:rFonts w:ascii="Arial" w:hAnsi="Arial" w:cs="Arial"/>
        </w:rPr>
        <w:t>Despite this extensive application history, CE-QUAL-W2’s capacity to address HAB-specific management issues has been limited. Water resource managers need better tools to predict bloom timing and magnitude, evaluate mitigation strategies, and protect water supplies from cyanotoxins. ERDC is developing new capabilities to enhance CE-QUAL-W2 to improve its ability to simulate HAB formation, distribution, evolution, and transport to meet these operational needs.</w:t>
      </w:r>
    </w:p>
    <w:p w14:paraId="015F004C" w14:textId="0FA0CF9E" w:rsidR="00DD3C24" w:rsidRPr="00EF5C2F" w:rsidRDefault="00000000">
      <w:pPr>
        <w:pStyle w:val="BodyText"/>
        <w:rPr>
          <w:rFonts w:ascii="Arial" w:hAnsi="Arial" w:cs="Arial"/>
        </w:rPr>
      </w:pPr>
      <w:r w:rsidRPr="00EF5C2F">
        <w:rPr>
          <w:rFonts w:ascii="Arial" w:hAnsi="Arial" w:cs="Arial"/>
        </w:rPr>
        <w:t>Satellite remote sensing offers several advantages for filling in situ data gaps for lakes and reservoirs. The MODIS sensors on NASA’s Terra and Aqua satellites provide daily observations at 500 m and 1 km resolution, creating a nearly continuous record since MODIS-Terra started recording data in 2000. Sentinel-2 adds finer spatial detail at 10 m resolution with red-edge bands optimized for chlorophyll detection (Johansen et al.</w:t>
      </w:r>
      <w:r w:rsidR="006D7268">
        <w:rPr>
          <w:rFonts w:ascii="Arial" w:hAnsi="Arial" w:cs="Arial"/>
        </w:rPr>
        <w:t xml:space="preserve">, </w:t>
      </w:r>
      <w:r w:rsidRPr="00EF5C2F">
        <w:rPr>
          <w:rFonts w:ascii="Arial" w:hAnsi="Arial" w:cs="Arial"/>
        </w:rPr>
        <w:t>2024), although its data record only extends back to 2015. Google Earth Engine (Gorelick et al.</w:t>
      </w:r>
      <w:r w:rsidR="006D7268">
        <w:rPr>
          <w:rFonts w:ascii="Arial" w:hAnsi="Arial" w:cs="Arial"/>
        </w:rPr>
        <w:t xml:space="preserve">, </w:t>
      </w:r>
      <w:r w:rsidRPr="00EF5C2F">
        <w:rPr>
          <w:rFonts w:ascii="Arial" w:hAnsi="Arial" w:cs="Arial"/>
        </w:rPr>
        <w:t>2017) now makes it practical to process these massive archives, extracting time series for specific locations without requiring specialized computing infrastructure.</w:t>
      </w:r>
    </w:p>
    <w:p w14:paraId="349B271F" w14:textId="77777777" w:rsidR="00DD3C24" w:rsidRPr="00EF5C2F" w:rsidRDefault="00000000">
      <w:pPr>
        <w:pStyle w:val="BodyText"/>
        <w:rPr>
          <w:rFonts w:ascii="Arial" w:hAnsi="Arial" w:cs="Arial"/>
        </w:rPr>
      </w:pPr>
      <w:r w:rsidRPr="00EF5C2F">
        <w:rPr>
          <w:rFonts w:ascii="Arial" w:hAnsi="Arial" w:cs="Arial"/>
        </w:rPr>
        <w:t>We developed a transferable approach for generating satellite-derived chlorophyll time series suitable for model calibration. First, we calibrated satellite algorithms using extensive field data from Upper Klamath Lake, where long-term monitoring has created one of the most comprehensive chlorophyll datasets in the western United States. We then applied these calibrated algorithms to Detroit Lake, generating daily chlorophyll estimates from 2011 to 2025. Finally, we used these satellite-derived time series to calibrate and validate CE-QUAL-W2 for the years 2013 and 2018. The year 2013 represented “baseline” conditions and served as a basis for comparison, enabling evaluation of model performance relative to the satellite-derived chlorophyll data, keeping all other factors constant. The results of our analyses will demonstrate how remote sensing can effectively support model development when field data are limited.</w:t>
      </w:r>
    </w:p>
    <w:p w14:paraId="3F389CFD" w14:textId="7C9E5DA9" w:rsidR="00DD3C24" w:rsidRPr="00EF5C2F" w:rsidRDefault="00000000">
      <w:pPr>
        <w:pStyle w:val="BodyText"/>
        <w:rPr>
          <w:rFonts w:ascii="Arial" w:hAnsi="Arial" w:cs="Arial"/>
        </w:rPr>
      </w:pPr>
      <w:r w:rsidRPr="00EF5C2F">
        <w:rPr>
          <w:rFonts w:ascii="Arial" w:hAnsi="Arial" w:cs="Arial"/>
        </w:rPr>
        <w:t>This approach addresses a widespread need in water quality modeling (Siebers et al.</w:t>
      </w:r>
      <w:r w:rsidR="006D7268">
        <w:rPr>
          <w:rFonts w:ascii="Arial" w:hAnsi="Arial" w:cs="Arial"/>
        </w:rPr>
        <w:t xml:space="preserve">, </w:t>
      </w:r>
      <w:r w:rsidRPr="00EF5C2F">
        <w:rPr>
          <w:rFonts w:ascii="Arial" w:hAnsi="Arial" w:cs="Arial"/>
        </w:rPr>
        <w:t>2025). Many reservoirs have insufficient monitoring data to support robust model calibration, yet managers increasingly rely on models to predict HAB occurrence, evaluate mitigation strategies, and optimize operations. Satellite observations provide consistent, objective measurements that can supplement or substitute for field data when necessary. As HABs become more frequent and severe, methods that leverage existing satellite archives will play an important role in expanding modeling capabilities to data-limited systems.</w:t>
      </w:r>
    </w:p>
    <w:p w14:paraId="79EB7B3F" w14:textId="77777777" w:rsidR="00DD3C24" w:rsidRPr="00EF5C2F" w:rsidRDefault="00000000">
      <w:pPr>
        <w:pStyle w:val="BodyText"/>
        <w:rPr>
          <w:rFonts w:ascii="Arial" w:hAnsi="Arial" w:cs="Arial"/>
        </w:rPr>
      </w:pPr>
      <w:r w:rsidRPr="00EF5C2F">
        <w:rPr>
          <w:rFonts w:ascii="Arial" w:hAnsi="Arial" w:cs="Arial"/>
        </w:rPr>
        <w:t xml:space="preserve">The integration of satellite-derived chlorophyll data with process-based models like CE-QUAL-W2 represents a practical advance in reservoir water quality analysis and </w:t>
      </w:r>
      <w:r w:rsidRPr="00EF5C2F">
        <w:rPr>
          <w:rFonts w:ascii="Arial" w:hAnsi="Arial" w:cs="Arial"/>
        </w:rPr>
        <w:lastRenderedPageBreak/>
        <w:t>prediction. By demonstrating this approach at Detroit Lake and providing reproducible methods, we aim to help other modelers and managers apply similar techniques to their systems. This work contributes to the broader goal of improving HAB prediction and management capabilities across diverse reservoirs, regardless of their existing monitoring infrastructure.</w:t>
      </w:r>
    </w:p>
    <w:p w14:paraId="59E4269B" w14:textId="77777777" w:rsidR="00DD3C24" w:rsidRPr="00EF5C2F" w:rsidRDefault="00000000">
      <w:pPr>
        <w:pStyle w:val="Heading3"/>
        <w:rPr>
          <w:rFonts w:ascii="Arial" w:hAnsi="Arial" w:cs="Arial"/>
        </w:rPr>
      </w:pPr>
      <w:bookmarkStart w:id="3" w:name="study-sites"/>
      <w:bookmarkEnd w:id="2"/>
      <w:r w:rsidRPr="00EF5C2F">
        <w:rPr>
          <w:rFonts w:ascii="Arial" w:hAnsi="Arial" w:cs="Arial"/>
        </w:rPr>
        <w:t>1.2. Study sites</w:t>
      </w:r>
    </w:p>
    <w:p w14:paraId="20A9F8C7" w14:textId="77777777" w:rsidR="00DD3C24" w:rsidRPr="00EF5C2F" w:rsidRDefault="00000000">
      <w:pPr>
        <w:pStyle w:val="Heading4"/>
        <w:rPr>
          <w:rFonts w:ascii="Arial" w:hAnsi="Arial" w:cs="Arial"/>
        </w:rPr>
      </w:pPr>
      <w:bookmarkStart w:id="4" w:name="detroit-lake"/>
      <w:r w:rsidRPr="00EF5C2F">
        <w:rPr>
          <w:rFonts w:ascii="Arial" w:hAnsi="Arial" w:cs="Arial"/>
        </w:rPr>
        <w:t>1.2.1 Detroit Lake</w:t>
      </w:r>
    </w:p>
    <w:p w14:paraId="33B9B66C" w14:textId="26E21BD8" w:rsidR="00DD3C24" w:rsidRPr="00EF5C2F" w:rsidRDefault="00000000">
      <w:pPr>
        <w:pStyle w:val="FirstParagraph"/>
        <w:rPr>
          <w:rFonts w:ascii="Arial" w:hAnsi="Arial" w:cs="Arial"/>
        </w:rPr>
      </w:pPr>
      <w:r w:rsidRPr="00EF5C2F">
        <w:rPr>
          <w:rFonts w:ascii="Arial" w:hAnsi="Arial" w:cs="Arial"/>
        </w:rPr>
        <w:t>Detroit Lake lies in the western Cascade Range of Oregon at 44.7 °N, 122.2 °W, approximately 75 km southeast of Salem. Created in 1953 with the completion of the 141-m high concrete Detroit Dam on the North Santiam River (Sullivan et al.</w:t>
      </w:r>
      <w:r w:rsidR="006D7268">
        <w:rPr>
          <w:rFonts w:ascii="Arial" w:hAnsi="Arial" w:cs="Arial"/>
        </w:rPr>
        <w:t xml:space="preserve">, </w:t>
      </w:r>
      <w:r w:rsidRPr="00EF5C2F">
        <w:rPr>
          <w:rFonts w:ascii="Arial" w:hAnsi="Arial" w:cs="Arial"/>
        </w:rPr>
        <w:t xml:space="preserve">2007), the reservoir serves as a critical component of the Willamette River basin’s water management system. At full conservation pool elevation of 478.2 m, the water surface covers 14.5 </w:t>
      </w:r>
      <m:oMath>
        <m:r>
          <w:rPr>
            <w:rFonts w:ascii="Cambria Math" w:hAnsi="Cambria Math" w:cs="Arial"/>
          </w:rPr>
          <m:t>k</m:t>
        </m:r>
        <m:sSup>
          <m:sSupPr>
            <m:ctrlPr>
              <w:rPr>
                <w:rFonts w:ascii="Cambria Math" w:hAnsi="Cambria Math" w:cs="Arial"/>
              </w:rPr>
            </m:ctrlPr>
          </m:sSupPr>
          <m:e>
            <m:r>
              <w:rPr>
                <w:rFonts w:ascii="Cambria Math" w:hAnsi="Cambria Math" w:cs="Arial"/>
              </w:rPr>
              <m:t>m</m:t>
            </m:r>
          </m:e>
          <m:sup>
            <m:r>
              <w:rPr>
                <w:rFonts w:ascii="Cambria Math" w:hAnsi="Cambria Math" w:cs="Arial"/>
              </w:rPr>
              <m:t>2</m:t>
            </m:r>
          </m:sup>
        </m:sSup>
      </m:oMath>
      <w:r w:rsidRPr="00EF5C2F">
        <w:rPr>
          <w:rFonts w:ascii="Arial" w:hAnsi="Arial" w:cs="Arial"/>
        </w:rPr>
        <w:t xml:space="preserve"> and stretches 14 km along the drowned river valley, storing 561 million </w:t>
      </w:r>
      <m:oMath>
        <m:sSup>
          <m:sSupPr>
            <m:ctrlPr>
              <w:rPr>
                <w:rFonts w:ascii="Cambria Math" w:hAnsi="Cambria Math" w:cs="Arial"/>
              </w:rPr>
            </m:ctrlPr>
          </m:sSupPr>
          <m:e>
            <m:r>
              <w:rPr>
                <w:rFonts w:ascii="Cambria Math" w:hAnsi="Cambria Math" w:cs="Arial"/>
              </w:rPr>
              <m:t>m</m:t>
            </m:r>
          </m:e>
          <m:sup>
            <m:r>
              <w:rPr>
                <w:rFonts w:ascii="Cambria Math" w:hAnsi="Cambria Math" w:cs="Arial"/>
              </w:rPr>
              <m:t>3</m:t>
            </m:r>
          </m:sup>
        </m:sSup>
      </m:oMath>
      <w:r w:rsidRPr="00EF5C2F">
        <w:rPr>
          <w:rFonts w:ascii="Arial" w:hAnsi="Arial" w:cs="Arial"/>
        </w:rPr>
        <w:t xml:space="preserve"> (455,000 acre-feet) (Sullivan et al.</w:t>
      </w:r>
      <w:r w:rsidR="006D7268">
        <w:rPr>
          <w:rFonts w:ascii="Arial" w:hAnsi="Arial" w:cs="Arial"/>
        </w:rPr>
        <w:t xml:space="preserve">, </w:t>
      </w:r>
      <w:r w:rsidRPr="00EF5C2F">
        <w:rPr>
          <w:rFonts w:ascii="Arial" w:hAnsi="Arial" w:cs="Arial"/>
        </w:rPr>
        <w:t>2007). The reservoir has a mean depth of 21 m with a maximum depth of 73 m at the dam face Sullivan et al.</w:t>
      </w:r>
      <w:r w:rsidR="006D7268">
        <w:rPr>
          <w:rFonts w:ascii="Arial" w:hAnsi="Arial" w:cs="Arial"/>
        </w:rPr>
        <w:t xml:space="preserve">, </w:t>
      </w:r>
      <w:r w:rsidRPr="00EF5C2F">
        <w:rPr>
          <w:rFonts w:ascii="Arial" w:hAnsi="Arial" w:cs="Arial"/>
        </w:rPr>
        <w:t>2007).</w:t>
      </w:r>
    </w:p>
    <w:p w14:paraId="769815B0" w14:textId="3E782BD0" w:rsidR="00DD3C24" w:rsidRPr="00EF5C2F" w:rsidRDefault="00000000">
      <w:pPr>
        <w:pStyle w:val="BodyText"/>
        <w:rPr>
          <w:rFonts w:ascii="Arial" w:hAnsi="Arial" w:cs="Arial"/>
        </w:rPr>
      </w:pPr>
      <w:r w:rsidRPr="00EF5C2F">
        <w:rPr>
          <w:rFonts w:ascii="Arial" w:hAnsi="Arial" w:cs="Arial"/>
        </w:rPr>
        <w:t xml:space="preserve">The North Santiam River basin drains approximately 1,130 </w:t>
      </w:r>
      <m:oMath>
        <m:r>
          <w:rPr>
            <w:rFonts w:ascii="Cambria Math" w:hAnsi="Cambria Math" w:cs="Arial"/>
          </w:rPr>
          <m:t>k</m:t>
        </m:r>
        <m:sSup>
          <m:sSupPr>
            <m:ctrlPr>
              <w:rPr>
                <w:rFonts w:ascii="Cambria Math" w:hAnsi="Cambria Math" w:cs="Arial"/>
              </w:rPr>
            </m:ctrlPr>
          </m:sSupPr>
          <m:e>
            <m:r>
              <w:rPr>
                <w:rFonts w:ascii="Cambria Math" w:hAnsi="Cambria Math" w:cs="Arial"/>
              </w:rPr>
              <m:t>m</m:t>
            </m:r>
          </m:e>
          <m:sup>
            <m:r>
              <w:rPr>
                <w:rFonts w:ascii="Cambria Math" w:hAnsi="Cambria Math" w:cs="Arial"/>
              </w:rPr>
              <m:t>2</m:t>
            </m:r>
          </m:sup>
        </m:sSup>
      </m:oMath>
      <w:r w:rsidRPr="00EF5C2F">
        <w:rPr>
          <w:rFonts w:ascii="Arial" w:hAnsi="Arial" w:cs="Arial"/>
        </w:rPr>
        <w:t xml:space="preserve"> of the western Cascades (Sullivan et al.</w:t>
      </w:r>
      <w:r w:rsidR="006D7268">
        <w:rPr>
          <w:rFonts w:ascii="Arial" w:hAnsi="Arial" w:cs="Arial"/>
        </w:rPr>
        <w:t xml:space="preserve">, </w:t>
      </w:r>
      <w:r w:rsidRPr="00EF5C2F">
        <w:rPr>
          <w:rFonts w:ascii="Arial" w:hAnsi="Arial" w:cs="Arial"/>
        </w:rPr>
        <w:t>2007), receiving inflows from the North Santiam River, Breitenbush River, and smaller tributaries including French, Blowout, Box Canyon, and Kinney Creeks. The U.S. Army Corps of Engineers operates Detroit Dam for multiple purposes: flood risk management, hydropower generation (100 MW installed capacity), flow augmentation for threatened salmonid populations, municipal and industrial water supply, and recreation that attracts more than one million visitor-days annually. This complex operational regime produces seasonal pool fluctuations of 35 m or more (Sullivan et al.</w:t>
      </w:r>
      <w:r w:rsidR="006D7268">
        <w:rPr>
          <w:rFonts w:ascii="Arial" w:hAnsi="Arial" w:cs="Arial"/>
        </w:rPr>
        <w:t xml:space="preserve">, </w:t>
      </w:r>
      <w:r w:rsidRPr="00EF5C2F">
        <w:rPr>
          <w:rFonts w:ascii="Arial" w:hAnsi="Arial" w:cs="Arial"/>
        </w:rPr>
        <w:t>2007), dramatically altering the reservoir’s volume, thermal structure, and aquatic habitat. Big Cliff Dam, located 5 km downstream, serves as a reregulating structure that dampens flow variations from power operations (Sullivan et al.</w:t>
      </w:r>
      <w:r w:rsidR="006D7268">
        <w:rPr>
          <w:rFonts w:ascii="Arial" w:hAnsi="Arial" w:cs="Arial"/>
        </w:rPr>
        <w:t xml:space="preserve">, </w:t>
      </w:r>
      <w:r w:rsidRPr="00EF5C2F">
        <w:rPr>
          <w:rFonts w:ascii="Arial" w:hAnsi="Arial" w:cs="Arial"/>
        </w:rPr>
        <w:t>2007).</w:t>
      </w:r>
    </w:p>
    <w:p w14:paraId="4384F394" w14:textId="2810A7CA" w:rsidR="00DD3C24" w:rsidRPr="00EF5C2F" w:rsidRDefault="00000000">
      <w:pPr>
        <w:pStyle w:val="BodyText"/>
        <w:rPr>
          <w:rFonts w:ascii="Arial" w:hAnsi="Arial" w:cs="Arial"/>
        </w:rPr>
      </w:pPr>
      <w:r w:rsidRPr="00EF5C2F">
        <w:rPr>
          <w:rFonts w:ascii="Arial" w:hAnsi="Arial" w:cs="Arial"/>
        </w:rPr>
        <w:t>Detroit Lake exhibits pronounced seasonal thermal dynamics that influence water quality and ecosystem processes. The reservoir remains isothermal and cold during winter months, but it begins to stratify as surface waters warm in the spring. By summer, a well-developed thermocline separates the warmer, less dense epilimnion from the cooler, denser hypolimnion. This thermal stratification persists until autumn cooling reduces density differences and promotes vertical mixing during fall turnover (Sullivan et al.</w:t>
      </w:r>
      <w:r w:rsidR="006D7268">
        <w:rPr>
          <w:rFonts w:ascii="Arial" w:hAnsi="Arial" w:cs="Arial"/>
        </w:rPr>
        <w:t xml:space="preserve">, </w:t>
      </w:r>
      <w:r w:rsidRPr="00EF5C2F">
        <w:rPr>
          <w:rFonts w:ascii="Arial" w:hAnsi="Arial" w:cs="Arial"/>
        </w:rPr>
        <w:t>2007). These natural thermal cycles interact with anthropogenic influences, particularly operational drawdowns that expose large areas of sediment and alter mixing patterns. The combination of thermal stratification, reservoir operations, and extended periods of nitrogen and phosphorus limitation from May through September creates ideal conditions for nitrogen-fixing cyanobacteria to dominate the phytoplankton community (Jeon et al.</w:t>
      </w:r>
      <w:r w:rsidR="006D7268">
        <w:rPr>
          <w:rFonts w:ascii="Arial" w:hAnsi="Arial" w:cs="Arial"/>
        </w:rPr>
        <w:t xml:space="preserve">, </w:t>
      </w:r>
      <w:r w:rsidRPr="00EF5C2F">
        <w:rPr>
          <w:rFonts w:ascii="Arial" w:hAnsi="Arial" w:cs="Arial"/>
        </w:rPr>
        <w:t>2025).</w:t>
      </w:r>
    </w:p>
    <w:p w14:paraId="5E814B28" w14:textId="189B1ECD" w:rsidR="00DD3C24" w:rsidRPr="00EF5C2F" w:rsidRDefault="00000000">
      <w:pPr>
        <w:pStyle w:val="BodyText"/>
        <w:rPr>
          <w:rFonts w:ascii="Arial" w:hAnsi="Arial" w:cs="Arial"/>
        </w:rPr>
      </w:pPr>
      <w:r w:rsidRPr="00EF5C2F">
        <w:rPr>
          <w:rFonts w:ascii="Arial" w:hAnsi="Arial" w:cs="Arial"/>
        </w:rPr>
        <w:t>Despite its location in a predominantly forested watershed with limited agricultural development, Detroit Lake has experienced significant water quality degradation over the past two decades. While the Sullivan et al.</w:t>
      </w:r>
      <w:r w:rsidR="006D7268">
        <w:rPr>
          <w:rFonts w:ascii="Arial" w:hAnsi="Arial" w:cs="Arial"/>
        </w:rPr>
        <w:t xml:space="preserve"> (</w:t>
      </w:r>
      <w:r w:rsidRPr="00EF5C2F">
        <w:rPr>
          <w:rFonts w:ascii="Arial" w:hAnsi="Arial" w:cs="Arial"/>
        </w:rPr>
        <w:t xml:space="preserve">2007) study focused primarily on sediment transport and temperature issues, harmful algal blooms have emerged as a </w:t>
      </w:r>
      <w:r w:rsidRPr="00EF5C2F">
        <w:rPr>
          <w:rFonts w:ascii="Arial" w:hAnsi="Arial" w:cs="Arial"/>
        </w:rPr>
        <w:lastRenderedPageBreak/>
        <w:t xml:space="preserve">critical challenge. Recent studies have identified </w:t>
      </w:r>
      <w:r w:rsidRPr="00EF5C2F">
        <w:rPr>
          <w:rFonts w:ascii="Arial" w:hAnsi="Arial" w:cs="Arial"/>
          <w:i/>
          <w:iCs/>
        </w:rPr>
        <w:t>Dolichospermum</w:t>
      </w:r>
      <w:r w:rsidRPr="00EF5C2F">
        <w:rPr>
          <w:rFonts w:ascii="Arial" w:hAnsi="Arial" w:cs="Arial"/>
        </w:rPr>
        <w:t xml:space="preserve"> as the dominant bloom-forming genus, capable of reaching up to 8.7% of total phytoplankton abundance in early summer (Jeon et al.</w:t>
      </w:r>
      <w:r w:rsidR="006D7268">
        <w:rPr>
          <w:rFonts w:ascii="Arial" w:hAnsi="Arial" w:cs="Arial"/>
        </w:rPr>
        <w:t xml:space="preserve">, </w:t>
      </w:r>
      <w:r w:rsidRPr="00EF5C2F">
        <w:rPr>
          <w:rFonts w:ascii="Arial" w:hAnsi="Arial" w:cs="Arial"/>
        </w:rPr>
        <w:t xml:space="preserve">2025). This nitrogen-fixing cyanobacterium gains competitive advantage over non-fixing genera like </w:t>
      </w:r>
      <w:r w:rsidRPr="00EF5C2F">
        <w:rPr>
          <w:rFonts w:ascii="Arial" w:hAnsi="Arial" w:cs="Arial"/>
          <w:i/>
          <w:iCs/>
        </w:rPr>
        <w:t>Microcystis</w:t>
      </w:r>
      <w:r w:rsidRPr="00EF5C2F">
        <w:rPr>
          <w:rFonts w:ascii="Arial" w:hAnsi="Arial" w:cs="Arial"/>
        </w:rPr>
        <w:t xml:space="preserve"> and </w:t>
      </w:r>
      <w:r w:rsidRPr="00EF5C2F">
        <w:rPr>
          <w:rFonts w:ascii="Arial" w:hAnsi="Arial" w:cs="Arial"/>
          <w:i/>
          <w:iCs/>
        </w:rPr>
        <w:t>Planktothrix</w:t>
      </w:r>
      <w:r w:rsidRPr="00EF5C2F">
        <w:rPr>
          <w:rFonts w:ascii="Arial" w:hAnsi="Arial" w:cs="Arial"/>
        </w:rPr>
        <w:t xml:space="preserve"> during extended nutrient limitation periods. Peak microcystin concentrations have reached </w:t>
      </w:r>
      <m:oMath>
        <m:r>
          <w:rPr>
            <w:rFonts w:ascii="Cambria Math" w:hAnsi="Cambria Math" w:cs="Arial"/>
          </w:rPr>
          <m:t>7.34 μ</m:t>
        </m:r>
        <m:r>
          <m:rPr>
            <m:nor/>
          </m:rPr>
          <w:rPr>
            <w:rFonts w:ascii="Arial" w:hAnsi="Arial" w:cs="Arial"/>
          </w:rPr>
          <m:t>g/L</m:t>
        </m:r>
      </m:oMath>
      <w:r w:rsidRPr="00EF5C2F">
        <w:rPr>
          <w:rFonts w:ascii="Arial" w:hAnsi="Arial" w:cs="Arial"/>
        </w:rPr>
        <w:t xml:space="preserve">, with strong correlations between microcystin levels and </w:t>
      </w:r>
      <w:r w:rsidRPr="00EF5C2F">
        <w:rPr>
          <w:rFonts w:ascii="Arial" w:hAnsi="Arial" w:cs="Arial"/>
          <w:i/>
          <w:iCs/>
        </w:rPr>
        <w:t>Dolichospermum</w:t>
      </w:r>
      <w:r w:rsidRPr="00EF5C2F">
        <w:rPr>
          <w:rFonts w:ascii="Arial" w:hAnsi="Arial" w:cs="Arial"/>
        </w:rPr>
        <w:t xml:space="preserve"> abundance (r = 0.84, p &lt; 0.05) (Jeon et al.</w:t>
      </w:r>
      <w:r w:rsidR="006D7268">
        <w:rPr>
          <w:rFonts w:ascii="Arial" w:hAnsi="Arial" w:cs="Arial"/>
        </w:rPr>
        <w:t xml:space="preserve">, </w:t>
      </w:r>
      <w:r w:rsidRPr="00EF5C2F">
        <w:rPr>
          <w:rFonts w:ascii="Arial" w:hAnsi="Arial" w:cs="Arial"/>
        </w:rPr>
        <w:t>2025).</w:t>
      </w:r>
    </w:p>
    <w:p w14:paraId="212D27EE" w14:textId="77777777" w:rsidR="00DD3C24" w:rsidRPr="00EF5C2F" w:rsidRDefault="00000000">
      <w:pPr>
        <w:pStyle w:val="BodyText"/>
        <w:rPr>
          <w:rFonts w:ascii="Arial" w:hAnsi="Arial" w:cs="Arial"/>
        </w:rPr>
      </w:pPr>
      <w:r w:rsidRPr="00EF5C2F">
        <w:rPr>
          <w:rFonts w:ascii="Arial" w:hAnsi="Arial" w:cs="Arial"/>
        </w:rPr>
        <w:t>The public health implications of these blooms became apparent during the 2018 Salem water crisis, when cylindrospermopsin and its epimer 7-epi-cylindrospermopsin were detected in finished drinking water above recommended thresholds for vulnerable populations (Godbole, 2019). This event, lasting from May 3 to July 3, 2018, required National Guard deployment to distribute alternative water supplies. Genomic analysis has revealed that bloom-forming cyanobacteria in Detroit Lake possess toxin-producing genes on plasmids, with remarkable genetic similarity (99.99%) between blooms in successive years (Godbole, 2019). Since 2018, the Oregon Health Authority has issued multiple cyanobacteria advisories for the reservoir.</w:t>
      </w:r>
    </w:p>
    <w:p w14:paraId="5C61AC9A" w14:textId="77777777" w:rsidR="00DD3C24" w:rsidRPr="00EF5C2F" w:rsidRDefault="00000000">
      <w:pPr>
        <w:pStyle w:val="BodyText"/>
        <w:rPr>
          <w:rFonts w:ascii="Arial" w:hAnsi="Arial" w:cs="Arial"/>
        </w:rPr>
      </w:pPr>
      <w:r w:rsidRPr="00EF5C2F">
        <w:rPr>
          <w:rFonts w:ascii="Arial" w:hAnsi="Arial" w:cs="Arial"/>
        </w:rPr>
        <w:t xml:space="preserve">Managing these complex HAB dynamics requires balancing water temperature requirements for endangered fish, power generation demands, and the vertical distribution of algal biomass and associated toxins. The reservoir’s selective withdrawal tower allows operators to access water from different depths, but the timing and vertical migration of blooms complicate operational decisions. Both microcystin from </w:t>
      </w:r>
      <w:r w:rsidRPr="00EF5C2F">
        <w:rPr>
          <w:rFonts w:ascii="Arial" w:hAnsi="Arial" w:cs="Arial"/>
          <w:i/>
          <w:iCs/>
        </w:rPr>
        <w:t>Dolichospermum</w:t>
      </w:r>
      <w:r w:rsidRPr="00EF5C2F">
        <w:rPr>
          <w:rFonts w:ascii="Arial" w:hAnsi="Arial" w:cs="Arial"/>
        </w:rPr>
        <w:t xml:space="preserve"> and cylindrospermopsin from </w:t>
      </w:r>
      <w:r w:rsidRPr="00EF5C2F">
        <w:rPr>
          <w:rFonts w:ascii="Arial" w:hAnsi="Arial" w:cs="Arial"/>
          <w:i/>
          <w:iCs/>
        </w:rPr>
        <w:t>Aphanizomenon</w:t>
      </w:r>
      <w:r w:rsidRPr="00EF5C2F">
        <w:rPr>
          <w:rFonts w:ascii="Arial" w:hAnsi="Arial" w:cs="Arial"/>
        </w:rPr>
        <w:t xml:space="preserve"> present challenges for downstream water treatment facilities. Understanding the ecological drivers of bloom formation, particularly the role of nitrogen fixation and nutrient limitation, is essential for optimizing reservoir operations while protecting both human health and aquatic ecosystems.</w:t>
      </w:r>
    </w:p>
    <w:p w14:paraId="2A27734D" w14:textId="77777777" w:rsidR="00DD3C24" w:rsidRPr="00EF5C2F" w:rsidRDefault="00000000">
      <w:pPr>
        <w:pStyle w:val="Heading4"/>
        <w:rPr>
          <w:rFonts w:ascii="Arial" w:hAnsi="Arial" w:cs="Arial"/>
        </w:rPr>
      </w:pPr>
      <w:bookmarkStart w:id="5" w:name="upper-klamath-lake"/>
      <w:bookmarkEnd w:id="4"/>
      <w:r w:rsidRPr="00EF5C2F">
        <w:rPr>
          <w:rFonts w:ascii="Arial" w:hAnsi="Arial" w:cs="Arial"/>
        </w:rPr>
        <w:t>1.2.2 Upper Klamath Lake</w:t>
      </w:r>
    </w:p>
    <w:p w14:paraId="467F2544" w14:textId="517A700C" w:rsidR="00DD3C24" w:rsidRPr="00EF5C2F" w:rsidRDefault="00000000">
      <w:pPr>
        <w:pStyle w:val="FirstParagraph"/>
        <w:rPr>
          <w:rFonts w:ascii="Arial" w:hAnsi="Arial" w:cs="Arial"/>
        </w:rPr>
      </w:pPr>
      <w:r w:rsidRPr="00EF5C2F">
        <w:rPr>
          <w:rFonts w:ascii="Arial" w:hAnsi="Arial" w:cs="Arial"/>
        </w:rPr>
        <w:t>Upper Klamath Lake (UKL), located in the Klamath Graben structural valley in south-central Oregon, is one of the largest natural freshwater lakes in the western United States (Caldwell Eldridge et al.</w:t>
      </w:r>
      <w:r w:rsidR="006D7268">
        <w:rPr>
          <w:rFonts w:ascii="Arial" w:hAnsi="Arial" w:cs="Arial"/>
        </w:rPr>
        <w:t xml:space="preserve">, </w:t>
      </w:r>
      <w:r w:rsidRPr="00EF5C2F">
        <w:rPr>
          <w:rFonts w:ascii="Arial" w:hAnsi="Arial" w:cs="Arial"/>
        </w:rPr>
        <w:t>2013). With a surface area of 232-305 km² (including contiguous Agency Lake), it represents an ideal reference site for developing satellite-based chlorophyll algorithms due to its size and consistent optical properties. Despite its large surface area, UKL is remarkably shallow with an average depth of 2.6-2.8 m, and more than 90% of the lake is less than 4 m deep (Caldwell Eldridge et al.</w:t>
      </w:r>
      <w:r w:rsidR="006D7268">
        <w:rPr>
          <w:rFonts w:ascii="Arial" w:hAnsi="Arial" w:cs="Arial"/>
        </w:rPr>
        <w:t xml:space="preserve">, </w:t>
      </w:r>
      <w:r w:rsidRPr="00EF5C2F">
        <w:rPr>
          <w:rFonts w:ascii="Arial" w:hAnsi="Arial" w:cs="Arial"/>
        </w:rPr>
        <w:t>2013). The only exception is a narrow 15 m deep trench along the western shoreline between Eagle Point and Buck Island.</w:t>
      </w:r>
    </w:p>
    <w:p w14:paraId="16C588CF" w14:textId="1DAB4713" w:rsidR="00DD3C24" w:rsidRPr="00EF5C2F" w:rsidRDefault="00000000">
      <w:pPr>
        <w:pStyle w:val="BodyText"/>
        <w:rPr>
          <w:rFonts w:ascii="Arial" w:hAnsi="Arial" w:cs="Arial"/>
        </w:rPr>
      </w:pPr>
      <w:r w:rsidRPr="00EF5C2F">
        <w:rPr>
          <w:rFonts w:ascii="Arial" w:hAnsi="Arial" w:cs="Arial"/>
        </w:rPr>
        <w:t xml:space="preserve">The lake’s drainage basin encompasses 9,415 </w:t>
      </w:r>
      <m:oMath>
        <m:r>
          <w:rPr>
            <w:rFonts w:ascii="Cambria Math" w:hAnsi="Cambria Math" w:cs="Arial"/>
          </w:rPr>
          <m:t>k</m:t>
        </m:r>
        <m:sSup>
          <m:sSupPr>
            <m:ctrlPr>
              <w:rPr>
                <w:rFonts w:ascii="Cambria Math" w:hAnsi="Cambria Math" w:cs="Arial"/>
              </w:rPr>
            </m:ctrlPr>
          </m:sSupPr>
          <m:e>
            <m:r>
              <w:rPr>
                <w:rFonts w:ascii="Cambria Math" w:hAnsi="Cambria Math" w:cs="Arial"/>
              </w:rPr>
              <m:t>m</m:t>
            </m:r>
          </m:e>
          <m:sup>
            <m:r>
              <w:rPr>
                <w:rFonts w:ascii="Cambria Math" w:hAnsi="Cambria Math" w:cs="Arial"/>
              </w:rPr>
              <m:t>2</m:t>
            </m:r>
          </m:sup>
        </m:sSup>
      </m:oMath>
      <w:r w:rsidRPr="00EF5C2F">
        <w:rPr>
          <w:rFonts w:ascii="Arial" w:hAnsi="Arial" w:cs="Arial"/>
        </w:rPr>
        <w:t xml:space="preserve"> of phosphorus-rich volcanic soils, with the Williamson River contributing approximately 46% of total inflow annually (Eldridge et al.</w:t>
      </w:r>
      <w:r w:rsidR="00D1775E">
        <w:rPr>
          <w:rFonts w:ascii="Arial" w:hAnsi="Arial" w:cs="Arial"/>
        </w:rPr>
        <w:t xml:space="preserve">, </w:t>
      </w:r>
      <w:r w:rsidRPr="00EF5C2F">
        <w:rPr>
          <w:rFonts w:ascii="Arial" w:hAnsi="Arial" w:cs="Arial"/>
        </w:rPr>
        <w:t>2012). Since completion of the Link River Dam in 1921, UKL has served as the primary water source for the Bureau of Reclamation’s Klamath Project, resulting in regulated water levels with annual fluctuations of up to 1 m between early spring and late summer (Caldwell Eldridge</w:t>
      </w:r>
      <w:r w:rsidR="006D7268">
        <w:rPr>
          <w:rFonts w:ascii="Arial" w:hAnsi="Arial" w:cs="Arial"/>
        </w:rPr>
        <w:t xml:space="preserve"> </w:t>
      </w:r>
      <w:r w:rsidR="00D1775E">
        <w:rPr>
          <w:rFonts w:ascii="Arial" w:hAnsi="Arial" w:cs="Arial"/>
        </w:rPr>
        <w:t xml:space="preserve">et al., </w:t>
      </w:r>
      <w:r w:rsidRPr="00EF5C2F">
        <w:rPr>
          <w:rFonts w:ascii="Arial" w:hAnsi="Arial" w:cs="Arial"/>
        </w:rPr>
        <w:t>2012).</w:t>
      </w:r>
    </w:p>
    <w:p w14:paraId="331E1E47" w14:textId="2ECF6D33" w:rsidR="00DD3C24" w:rsidRPr="00EF5C2F" w:rsidRDefault="00000000">
      <w:pPr>
        <w:pStyle w:val="BodyText"/>
        <w:rPr>
          <w:rFonts w:ascii="Arial" w:hAnsi="Arial" w:cs="Arial"/>
        </w:rPr>
      </w:pPr>
      <w:r w:rsidRPr="00EF5C2F">
        <w:rPr>
          <w:rFonts w:ascii="Arial" w:hAnsi="Arial" w:cs="Arial"/>
        </w:rPr>
        <w:lastRenderedPageBreak/>
        <w:t>UKL has been naturally eutrophic since at least the mid-1800s, but anthropogenic changes including forest clear-cutting, cattle grazing, wetland conversion, and hydrologic modifications have intensified eutrophication, shifting the lake to hypereutrophic status (Caldwell Eldridge</w:t>
      </w:r>
      <w:r w:rsidR="006D7268">
        <w:rPr>
          <w:rFonts w:ascii="Arial" w:hAnsi="Arial" w:cs="Arial"/>
        </w:rPr>
        <w:t xml:space="preserve"> et al., </w:t>
      </w:r>
      <w:r w:rsidRPr="00EF5C2F">
        <w:rPr>
          <w:rFonts w:ascii="Arial" w:hAnsi="Arial" w:cs="Arial"/>
        </w:rPr>
        <w:t>2012). Phosphorus loading in Upper Klamath Basin tributaries is substantially elevated above natural levels (~65 μg/L), creating conditions that support massive cyanobacterial blooms (Caldwell Eldridge et al.</w:t>
      </w:r>
      <w:r w:rsidR="006D7268">
        <w:rPr>
          <w:rFonts w:ascii="Arial" w:hAnsi="Arial" w:cs="Arial"/>
        </w:rPr>
        <w:t xml:space="preserve">, </w:t>
      </w:r>
      <w:r w:rsidRPr="00EF5C2F">
        <w:rPr>
          <w:rFonts w:ascii="Arial" w:hAnsi="Arial" w:cs="Arial"/>
        </w:rPr>
        <w:t>2013).</w:t>
      </w:r>
    </w:p>
    <w:p w14:paraId="257C62A9" w14:textId="69DE9BDF" w:rsidR="00DD3C24" w:rsidRPr="00EF5C2F" w:rsidRDefault="00000000">
      <w:pPr>
        <w:pStyle w:val="BodyText"/>
        <w:rPr>
          <w:rFonts w:ascii="Arial" w:hAnsi="Arial" w:cs="Arial"/>
        </w:rPr>
      </w:pPr>
      <w:r w:rsidRPr="00EF5C2F">
        <w:rPr>
          <w:rFonts w:ascii="Arial" w:hAnsi="Arial" w:cs="Arial"/>
        </w:rPr>
        <w:t xml:space="preserve">The phytoplankton community exhibits a unique characteristic highly advantageous for satellite calibration: during peak bloom periods, more than 90% of the phytoplankton biovolume consists of a single species, Aphanizomenon </w:t>
      </w:r>
      <w:proofErr w:type="spellStart"/>
      <w:r w:rsidRPr="00EF5C2F">
        <w:rPr>
          <w:rFonts w:ascii="Arial" w:hAnsi="Arial" w:cs="Arial"/>
        </w:rPr>
        <w:t>flos</w:t>
      </w:r>
      <w:proofErr w:type="spellEnd"/>
      <w:r w:rsidRPr="00EF5C2F">
        <w:rPr>
          <w:rFonts w:ascii="Arial" w:hAnsi="Arial" w:cs="Arial"/>
        </w:rPr>
        <w:t>-aquae (AFA) (Caldwell Eldridge</w:t>
      </w:r>
      <w:r w:rsidR="006D7268">
        <w:rPr>
          <w:rFonts w:ascii="Arial" w:hAnsi="Arial" w:cs="Arial"/>
        </w:rPr>
        <w:t xml:space="preserve"> et al., </w:t>
      </w:r>
      <w:r w:rsidRPr="00EF5C2F">
        <w:rPr>
          <w:rFonts w:ascii="Arial" w:hAnsi="Arial" w:cs="Arial"/>
        </w:rPr>
        <w:t>2012). This near-monoculture condition, which occurs annually during summer and autumn months, provides relatively homogeneous optical properties across the lake, reducing uncertainties in bio-optical algorithms. While the microcystin-producing Microcystis aeruginosa is present, it typically comprises less than 1% of total biomass, ensuring that AFA dominates the optical signal detected by satellite sensors (Caldwell Eldridge</w:t>
      </w:r>
      <w:r w:rsidR="006D7268">
        <w:rPr>
          <w:rFonts w:ascii="Arial" w:hAnsi="Arial" w:cs="Arial"/>
        </w:rPr>
        <w:t xml:space="preserve"> et al., </w:t>
      </w:r>
      <w:r w:rsidRPr="00EF5C2F">
        <w:rPr>
          <w:rFonts w:ascii="Arial" w:hAnsi="Arial" w:cs="Arial"/>
        </w:rPr>
        <w:t>2012).</w:t>
      </w:r>
    </w:p>
    <w:p w14:paraId="2FE1B135" w14:textId="1DBC812F" w:rsidR="00DD3C24" w:rsidRPr="00EF5C2F" w:rsidRDefault="00000000">
      <w:pPr>
        <w:pStyle w:val="BodyText"/>
        <w:rPr>
          <w:rFonts w:ascii="Arial" w:hAnsi="Arial" w:cs="Arial"/>
        </w:rPr>
      </w:pPr>
      <w:r w:rsidRPr="00EF5C2F">
        <w:rPr>
          <w:rFonts w:ascii="Arial" w:hAnsi="Arial" w:cs="Arial"/>
        </w:rPr>
        <w:t>UKL has been the subject of intensive water quality monitoring since 2002, with the U.S. Geological Survey (USGS) establishing a comprehensive monitoring network in cooperation with the Bureau of Reclamation. By 2005-2010, this network included 14-19 monitoring sites with continuous water quality monitors measuring temperature, pH, specific conductance, and dissolved oxygen at hourly intervals (Eldridge et al.</w:t>
      </w:r>
      <w:r w:rsidR="006D7268">
        <w:rPr>
          <w:rFonts w:ascii="Arial" w:hAnsi="Arial" w:cs="Arial"/>
        </w:rPr>
        <w:t xml:space="preserve">, </w:t>
      </w:r>
      <w:r w:rsidRPr="00EF5C2F">
        <w:rPr>
          <w:rFonts w:ascii="Arial" w:hAnsi="Arial" w:cs="Arial"/>
        </w:rPr>
        <w:t>2012). Weekly water sampling for chlorophyll-</w:t>
      </w:r>
      <w:proofErr w:type="gramStart"/>
      <w:r w:rsidRPr="00EF5C2F">
        <w:rPr>
          <w:rFonts w:ascii="Arial" w:hAnsi="Arial" w:cs="Arial"/>
        </w:rPr>
        <w:t>a</w:t>
      </w:r>
      <w:proofErr w:type="gramEnd"/>
      <w:r w:rsidRPr="00EF5C2F">
        <w:rPr>
          <w:rFonts w:ascii="Arial" w:hAnsi="Arial" w:cs="Arial"/>
        </w:rPr>
        <w:t xml:space="preserve"> analysis has been conducted at multiple sites including MDT (the deepest site), EPT, MDN, WMR, and RPT, providing the high-quality in situ data essential for satellite calibration (Eldridge et al.</w:t>
      </w:r>
      <w:r w:rsidR="006D7268">
        <w:rPr>
          <w:rFonts w:ascii="Arial" w:hAnsi="Arial" w:cs="Arial"/>
        </w:rPr>
        <w:t xml:space="preserve">, </w:t>
      </w:r>
      <w:r w:rsidRPr="00EF5C2F">
        <w:rPr>
          <w:rFonts w:ascii="Arial" w:hAnsi="Arial" w:cs="Arial"/>
        </w:rPr>
        <w:t>2012).</w:t>
      </w:r>
    </w:p>
    <w:p w14:paraId="0058007F" w14:textId="795226EB" w:rsidR="00DD3C24" w:rsidRPr="00EF5C2F" w:rsidRDefault="00000000">
      <w:pPr>
        <w:pStyle w:val="BodyText"/>
        <w:rPr>
          <w:rFonts w:ascii="Arial" w:hAnsi="Arial" w:cs="Arial"/>
        </w:rPr>
      </w:pPr>
      <w:r w:rsidRPr="00EF5C2F">
        <w:rPr>
          <w:rFonts w:ascii="Arial" w:hAnsi="Arial" w:cs="Arial"/>
        </w:rPr>
        <w:t>The timing and intensity of blooms vary interannually, with chlorophyll-a concentrations during peak blooms sometimes exceeding 1,000 μg/L, while concentrations were lowest in 2008 when the bloom was lighter overall and delayed by nearly one month (Caldwell Eldridge</w:t>
      </w:r>
      <w:r w:rsidR="006D7268">
        <w:rPr>
          <w:rFonts w:ascii="Arial" w:hAnsi="Arial" w:cs="Arial"/>
        </w:rPr>
        <w:t xml:space="preserve"> et al., </w:t>
      </w:r>
      <w:r w:rsidRPr="00EF5C2F">
        <w:rPr>
          <w:rFonts w:ascii="Arial" w:hAnsi="Arial" w:cs="Arial"/>
        </w:rPr>
        <w:t>2012). This extreme range of chlorophyll concentrations, from oligotrophic conditions in early spring to hypereutrophic peaks in summer, provides the dynamic range necessary for developing robust satellite algorithms applicable across trophic gradients.</w:t>
      </w:r>
    </w:p>
    <w:p w14:paraId="4B17AB21" w14:textId="1D1A0E58" w:rsidR="00DD3C24" w:rsidRPr="00EF5C2F" w:rsidRDefault="00000000">
      <w:pPr>
        <w:pStyle w:val="BodyText"/>
        <w:rPr>
          <w:rFonts w:ascii="Arial" w:hAnsi="Arial" w:cs="Arial"/>
        </w:rPr>
      </w:pPr>
      <w:r w:rsidRPr="00EF5C2F">
        <w:rPr>
          <w:rFonts w:ascii="Arial" w:hAnsi="Arial" w:cs="Arial"/>
        </w:rPr>
        <w:t>Several characteristics make UKL a good reference site for developing satellite chlorophyll algorithms transferable to other water bodies. The lake’s large surface area minimizes adjacency effects and provides multiple pure water pixels for satellite sensors, while its shallow depth ensures vertical homogeneity of the water column. The dominance of AFA creates predictable bio-optical relationships between chlorophyll concentration and spectral reflectance, reducing algorithm uncertainties compared to systems with mixed phytoplankton assemblages (Caldwell Eldridge</w:t>
      </w:r>
      <w:r w:rsidR="006D7268">
        <w:rPr>
          <w:rFonts w:ascii="Arial" w:hAnsi="Arial" w:cs="Arial"/>
        </w:rPr>
        <w:t xml:space="preserve"> et al., </w:t>
      </w:r>
      <w:r w:rsidRPr="00EF5C2F">
        <w:rPr>
          <w:rFonts w:ascii="Arial" w:hAnsi="Arial" w:cs="Arial"/>
        </w:rPr>
        <w:t>2012).</w:t>
      </w:r>
    </w:p>
    <w:p w14:paraId="660CE428" w14:textId="411A8706" w:rsidR="00DD3C24" w:rsidRPr="00EF5C2F" w:rsidRDefault="00000000">
      <w:pPr>
        <w:pStyle w:val="BodyText"/>
        <w:rPr>
          <w:rFonts w:ascii="Arial" w:hAnsi="Arial" w:cs="Arial"/>
        </w:rPr>
      </w:pPr>
      <w:r w:rsidRPr="00EF5C2F">
        <w:rPr>
          <w:rFonts w:ascii="Arial" w:hAnsi="Arial" w:cs="Arial"/>
        </w:rPr>
        <w:t xml:space="preserve">The extensive USGS monitoring program provides coincident in situ measurements for satellite overpasses, enabling robust calibration and validation across multiple years and bloom conditions. The 2009 monitoring season was particularly valuable as it captured an earlier and heavier AFA-dominated bloom with the highest and most variable microcystin concentrations, while 2008 provided contrast with its delayed and </w:t>
      </w:r>
      <w:r w:rsidRPr="00EF5C2F">
        <w:rPr>
          <w:rFonts w:ascii="Arial" w:hAnsi="Arial" w:cs="Arial"/>
        </w:rPr>
        <w:lastRenderedPageBreak/>
        <w:t>lighter bloom conditions (Caldwell Eldridge et al., 2012). Furthermore, the seasonal progression from clear water to hypereutrophic conditions captures the full range of chlorophyll concentrations likely to be encountered in Pacific Northwest reservoirs. As a naturally eutrophic system intensified by anthropogenic activities, UKL represents conditions increasingly common in Western U.S. water bodies facing similar pressures from agricultural intensification, urbanization, and climate change (Caldwell Eldridge et al</w:t>
      </w:r>
      <w:r w:rsidR="006D7268">
        <w:rPr>
          <w:rFonts w:ascii="Arial" w:hAnsi="Arial" w:cs="Arial"/>
        </w:rPr>
        <w:t xml:space="preserve">., </w:t>
      </w:r>
      <w:r w:rsidRPr="00EF5C2F">
        <w:rPr>
          <w:rFonts w:ascii="Arial" w:hAnsi="Arial" w:cs="Arial"/>
        </w:rPr>
        <w:t>2013).</w:t>
      </w:r>
    </w:p>
    <w:p w14:paraId="1799D296" w14:textId="77777777" w:rsidR="00DD3C24" w:rsidRPr="00EF5C2F" w:rsidRDefault="00000000">
      <w:pPr>
        <w:pStyle w:val="BodyText"/>
        <w:rPr>
          <w:rFonts w:ascii="Arial" w:hAnsi="Arial" w:cs="Arial"/>
        </w:rPr>
      </w:pPr>
      <w:r w:rsidRPr="00EF5C2F">
        <w:rPr>
          <w:rFonts w:ascii="Arial" w:hAnsi="Arial" w:cs="Arial"/>
        </w:rPr>
        <w:t>These characteristics, combined with the comprehensive monitoring infrastructure and extensive historical dataset, make UKL an ideal location for developing satellite-based chlorophyll algorithms that can be applied to data-limited systems such as Detroit Lake, where in situ monitoring may be inadequate or compromised by sensor calibration issues.</w:t>
      </w:r>
    </w:p>
    <w:p w14:paraId="0330883B" w14:textId="77777777" w:rsidR="00DD3C24" w:rsidRPr="00EF5C2F" w:rsidRDefault="00000000" w:rsidP="006D7268">
      <w:pPr>
        <w:pStyle w:val="Heading2"/>
      </w:pPr>
      <w:bookmarkStart w:id="6" w:name="methods"/>
      <w:bookmarkEnd w:id="1"/>
      <w:bookmarkEnd w:id="3"/>
      <w:bookmarkEnd w:id="5"/>
      <w:r w:rsidRPr="00EF5C2F">
        <w:t>2. Methods</w:t>
      </w:r>
    </w:p>
    <w:p w14:paraId="77E6FAB3" w14:textId="77777777" w:rsidR="00DD3C24" w:rsidRPr="00EF5C2F" w:rsidRDefault="00000000">
      <w:pPr>
        <w:pStyle w:val="Heading3"/>
        <w:rPr>
          <w:rFonts w:ascii="Arial" w:hAnsi="Arial" w:cs="Arial"/>
        </w:rPr>
      </w:pPr>
      <w:bookmarkStart w:id="7" w:name="in-situ-data"/>
      <w:r w:rsidRPr="00EF5C2F">
        <w:rPr>
          <w:rFonts w:ascii="Arial" w:hAnsi="Arial" w:cs="Arial"/>
        </w:rPr>
        <w:t>2.1 In Situ Data</w:t>
      </w:r>
    </w:p>
    <w:p w14:paraId="732C98DE" w14:textId="77777777" w:rsidR="00DD3C24" w:rsidRPr="00EF5C2F" w:rsidRDefault="00000000">
      <w:pPr>
        <w:pStyle w:val="FirstParagraph"/>
        <w:rPr>
          <w:rFonts w:ascii="Arial" w:hAnsi="Arial" w:cs="Arial"/>
        </w:rPr>
      </w:pPr>
      <w:r w:rsidRPr="00EF5C2F">
        <w:rPr>
          <w:rFonts w:ascii="Arial" w:hAnsi="Arial" w:cs="Arial"/>
        </w:rPr>
        <w:t>In situ chlorophyll-a data for Upper Klamath Lake (UKL), Oregon, were obtained from the Water Quality Portal (WQP), a cooperative service sponsored by the United States Geological Survey, Environmental Protection Agency, and National Water Quality Monitoring Council. The data were filtered and processed, summarizing all available chlorophyll data for UKL.</w:t>
      </w:r>
    </w:p>
    <w:p w14:paraId="10F16660" w14:textId="77777777" w:rsidR="00DD3C24" w:rsidRPr="00EF5C2F" w:rsidRDefault="00000000">
      <w:pPr>
        <w:pStyle w:val="Heading3"/>
        <w:rPr>
          <w:rFonts w:ascii="Arial" w:hAnsi="Arial" w:cs="Arial"/>
        </w:rPr>
      </w:pPr>
      <w:bookmarkStart w:id="8" w:name="X1d6fbb1e0f15f71b74364504c4125ea4937d448"/>
      <w:bookmarkEnd w:id="7"/>
      <w:r w:rsidRPr="00EF5C2F">
        <w:rPr>
          <w:rFonts w:ascii="Arial" w:hAnsi="Arial" w:cs="Arial"/>
        </w:rPr>
        <w:t>2.2 Satellite Data Acquisition and Processing</w:t>
      </w:r>
    </w:p>
    <w:p w14:paraId="17F12FBE" w14:textId="77777777" w:rsidR="00DD3C24" w:rsidRPr="00EF5C2F" w:rsidRDefault="00000000">
      <w:pPr>
        <w:pStyle w:val="Heading4"/>
        <w:rPr>
          <w:rFonts w:ascii="Arial" w:hAnsi="Arial" w:cs="Arial"/>
        </w:rPr>
      </w:pPr>
      <w:bookmarkStart w:id="9" w:name="sentinel-2-data-processing"/>
      <w:r w:rsidRPr="00EF5C2F">
        <w:rPr>
          <w:rFonts w:ascii="Arial" w:hAnsi="Arial" w:cs="Arial"/>
        </w:rPr>
        <w:t>2.2.1 Sentinel-2 Data Processing</w:t>
      </w:r>
    </w:p>
    <w:p w14:paraId="1AC14EB6" w14:textId="73B9CFB8" w:rsidR="00DD3C24" w:rsidRPr="00EF5C2F" w:rsidRDefault="00000000">
      <w:pPr>
        <w:pStyle w:val="FirstParagraph"/>
        <w:rPr>
          <w:rFonts w:ascii="Arial" w:hAnsi="Arial" w:cs="Arial"/>
        </w:rPr>
      </w:pPr>
      <w:r w:rsidRPr="00EF5C2F">
        <w:rPr>
          <w:rFonts w:ascii="Arial" w:hAnsi="Arial" w:cs="Arial"/>
        </w:rPr>
        <w:t>Sentinel-2 MultiSpectral Instrument (MSI) data were prioritized for chlorophyll estimation following the methodology established by Johansen et al. (2024). The Sentinel-2 constellation, consisting of satellites 2A and 2B, provides high spatial resolution (10-20 m) and frequent temporal coverage (5-day revisit time) since July 2015. We utilized Sentinel-2 Level-2A Surface Reflectance products from the harmonized collection (COPERNICUS/S2_SR_HARMONIZED) accessed through Google Earth Engine (Gorelick et al.</w:t>
      </w:r>
      <w:r w:rsidR="006D7268">
        <w:rPr>
          <w:rFonts w:ascii="Arial" w:hAnsi="Arial" w:cs="Arial"/>
        </w:rPr>
        <w:t xml:space="preserve">, </w:t>
      </w:r>
      <w:r w:rsidRPr="00EF5C2F">
        <w:rPr>
          <w:rFonts w:ascii="Arial" w:hAnsi="Arial" w:cs="Arial"/>
        </w:rPr>
        <w:t>2017).</w:t>
      </w:r>
    </w:p>
    <w:p w14:paraId="04F568EC" w14:textId="71AFF516" w:rsidR="00DD3C24" w:rsidRPr="00EF5C2F" w:rsidRDefault="00000000">
      <w:pPr>
        <w:pStyle w:val="BodyText"/>
        <w:rPr>
          <w:rFonts w:ascii="Arial" w:hAnsi="Arial" w:cs="Arial"/>
        </w:rPr>
      </w:pPr>
      <w:r w:rsidRPr="00EF5C2F">
        <w:rPr>
          <w:rFonts w:ascii="Arial" w:hAnsi="Arial" w:cs="Arial"/>
        </w:rPr>
        <w:t>The Normalized Difference Chlorophyll Index (NDCI) was calculated using the red-edge bands (Mishra and Mishra</w:t>
      </w:r>
      <w:r w:rsidR="006D7268">
        <w:rPr>
          <w:rFonts w:ascii="Arial" w:hAnsi="Arial" w:cs="Arial"/>
        </w:rPr>
        <w:t xml:space="preserve">, </w:t>
      </w:r>
      <w:r w:rsidRPr="00EF5C2F">
        <w:rPr>
          <w:rFonts w:ascii="Arial" w:hAnsi="Arial" w:cs="Arial"/>
        </w:rPr>
        <w:t>2012):</w:t>
      </w:r>
    </w:p>
    <w:p w14:paraId="55C6E02D" w14:textId="77777777" w:rsidR="00DD3C24" w:rsidRPr="00EF5C2F" w:rsidRDefault="00000000">
      <w:pPr>
        <w:pStyle w:val="BodyText"/>
        <w:rPr>
          <w:rFonts w:ascii="Arial" w:hAnsi="Arial" w:cs="Arial"/>
        </w:rPr>
      </w:pPr>
      <m:oMathPara>
        <m:oMathParaPr>
          <m:jc m:val="center"/>
        </m:oMathParaPr>
        <m:oMath>
          <m:r>
            <w:rPr>
              <w:rFonts w:ascii="Cambria Math" w:hAnsi="Cambria Math" w:cs="Arial"/>
            </w:rPr>
            <m:t>NDCI</m:t>
          </m:r>
          <m:r>
            <m:rPr>
              <m:sty m:val="p"/>
            </m:rPr>
            <w:rPr>
              <w:rFonts w:ascii="Cambria Math" w:hAnsi="Cambria Math" w:cs="Arial"/>
            </w:rPr>
            <m:t>=(</m:t>
          </m:r>
          <m:r>
            <w:rPr>
              <w:rFonts w:ascii="Cambria Math" w:hAnsi="Cambria Math" w:cs="Arial"/>
            </w:rPr>
            <m:t>B5</m:t>
          </m:r>
          <m:r>
            <m:rPr>
              <m:sty m:val="p"/>
            </m:rPr>
            <w:rPr>
              <w:rFonts w:ascii="Cambria Math" w:hAnsi="Cambria Math" w:cs="Arial"/>
            </w:rPr>
            <m:t>-</m:t>
          </m:r>
          <m:r>
            <w:rPr>
              <w:rFonts w:ascii="Cambria Math" w:hAnsi="Cambria Math" w:cs="Arial"/>
            </w:rPr>
            <m:t>B4</m:t>
          </m:r>
          <m:r>
            <m:rPr>
              <m:sty m:val="p"/>
            </m:rPr>
            <w:rPr>
              <w:rFonts w:ascii="Cambria Math" w:hAnsi="Cambria Math" w:cs="Arial"/>
            </w:rPr>
            <m:t>)/(</m:t>
          </m:r>
          <m:r>
            <w:rPr>
              <w:rFonts w:ascii="Cambria Math" w:hAnsi="Cambria Math" w:cs="Arial"/>
            </w:rPr>
            <m:t>B5</m:t>
          </m:r>
          <m:r>
            <m:rPr>
              <m:sty m:val="p"/>
            </m:rPr>
            <w:rPr>
              <w:rFonts w:ascii="Cambria Math" w:hAnsi="Cambria Math" w:cs="Arial"/>
            </w:rPr>
            <m:t>+</m:t>
          </m:r>
          <m:r>
            <w:rPr>
              <w:rFonts w:ascii="Cambria Math" w:hAnsi="Cambria Math" w:cs="Arial"/>
            </w:rPr>
            <m:t>B4</m:t>
          </m:r>
          <m:r>
            <m:rPr>
              <m:sty m:val="p"/>
            </m:rPr>
            <w:rPr>
              <w:rFonts w:ascii="Cambria Math" w:hAnsi="Cambria Math" w:cs="Arial"/>
            </w:rPr>
            <m:t>)</m:t>
          </m:r>
        </m:oMath>
      </m:oMathPara>
    </w:p>
    <w:p w14:paraId="49931243" w14:textId="0BBE81ED" w:rsidR="00DD3C24" w:rsidRPr="00EF5C2F" w:rsidRDefault="00000000">
      <w:pPr>
        <w:pStyle w:val="FirstParagraph"/>
        <w:rPr>
          <w:rFonts w:ascii="Arial" w:hAnsi="Arial" w:cs="Arial"/>
        </w:rPr>
      </w:pPr>
      <w:r w:rsidRPr="00EF5C2F">
        <w:rPr>
          <w:rFonts w:ascii="Arial" w:hAnsi="Arial" w:cs="Arial"/>
        </w:rPr>
        <w:t>where B5 (705 nm, 20 m resolution) represents the red-edge band sensitive to chlorophyll absorption features, and B4 (665 nm, 10 m resolution) represents the red band. Band B4 was resampled to match B5’s 20 m spatial grid using bilinear interpolation to ensure consistent spatial resolution and minimize spectral mixing effects (Beck et al.</w:t>
      </w:r>
      <w:r w:rsidR="006D7268">
        <w:rPr>
          <w:rFonts w:ascii="Arial" w:hAnsi="Arial" w:cs="Arial"/>
        </w:rPr>
        <w:t xml:space="preserve">, </w:t>
      </w:r>
      <w:r w:rsidRPr="00EF5C2F">
        <w:rPr>
          <w:rFonts w:ascii="Arial" w:hAnsi="Arial" w:cs="Arial"/>
        </w:rPr>
        <w:t>2016; Johansen et al.</w:t>
      </w:r>
      <w:r w:rsidR="006D7268">
        <w:rPr>
          <w:rFonts w:ascii="Arial" w:hAnsi="Arial" w:cs="Arial"/>
        </w:rPr>
        <w:t xml:space="preserve">, </w:t>
      </w:r>
      <w:r w:rsidRPr="00EF5C2F">
        <w:rPr>
          <w:rFonts w:ascii="Arial" w:hAnsi="Arial" w:cs="Arial"/>
        </w:rPr>
        <w:t>2024).</w:t>
      </w:r>
    </w:p>
    <w:p w14:paraId="2A306E1B" w14:textId="77777777" w:rsidR="00DD3C24" w:rsidRPr="00EF5C2F" w:rsidRDefault="00000000">
      <w:pPr>
        <w:pStyle w:val="BodyText"/>
        <w:rPr>
          <w:rFonts w:ascii="Arial" w:hAnsi="Arial" w:cs="Arial"/>
        </w:rPr>
      </w:pPr>
      <w:r w:rsidRPr="00EF5C2F">
        <w:rPr>
          <w:rFonts w:ascii="Arial" w:hAnsi="Arial" w:cs="Arial"/>
        </w:rPr>
        <w:t>Quality control procedures followed Johansen et al. (2024):</w:t>
      </w:r>
    </w:p>
    <w:p w14:paraId="1EFCCC84" w14:textId="77777777" w:rsidR="00DD3C24" w:rsidRPr="00EF5C2F" w:rsidRDefault="00000000">
      <w:pPr>
        <w:pStyle w:val="Compact"/>
        <w:numPr>
          <w:ilvl w:val="0"/>
          <w:numId w:val="2"/>
        </w:numPr>
        <w:rPr>
          <w:rFonts w:ascii="Arial" w:hAnsi="Arial" w:cs="Arial"/>
        </w:rPr>
      </w:pPr>
      <w:r w:rsidRPr="00EF5C2F">
        <w:rPr>
          <w:rFonts w:ascii="Arial" w:hAnsi="Arial" w:cs="Arial"/>
        </w:rPr>
        <w:lastRenderedPageBreak/>
        <w:t>Water masking: Only pixels classified as water (class 6) by the Scene Classification Layer (SCL) were retained</w:t>
      </w:r>
    </w:p>
    <w:p w14:paraId="633E9B19" w14:textId="77777777" w:rsidR="00DD3C24" w:rsidRPr="00EF5C2F" w:rsidRDefault="00000000">
      <w:pPr>
        <w:pStyle w:val="Compact"/>
        <w:numPr>
          <w:ilvl w:val="0"/>
          <w:numId w:val="2"/>
        </w:numPr>
        <w:rPr>
          <w:rFonts w:ascii="Arial" w:hAnsi="Arial" w:cs="Arial"/>
        </w:rPr>
      </w:pPr>
      <w:r w:rsidRPr="00EF5C2F">
        <w:rPr>
          <w:rFonts w:ascii="Arial" w:hAnsi="Arial" w:cs="Arial"/>
        </w:rPr>
        <w:t>Shoreline buffer: Water pixels were eroded by one 20 m pixel to reduce adjacency effects from land surfaces</w:t>
      </w:r>
    </w:p>
    <w:p w14:paraId="73D1024B" w14:textId="77777777" w:rsidR="00DD3C24" w:rsidRPr="00EF5C2F" w:rsidRDefault="00000000">
      <w:pPr>
        <w:pStyle w:val="Compact"/>
        <w:numPr>
          <w:ilvl w:val="0"/>
          <w:numId w:val="2"/>
        </w:numPr>
        <w:rPr>
          <w:rFonts w:ascii="Arial" w:hAnsi="Arial" w:cs="Arial"/>
        </w:rPr>
      </w:pPr>
      <w:r w:rsidRPr="00EF5C2F">
        <w:rPr>
          <w:rFonts w:ascii="Arial" w:hAnsi="Arial" w:cs="Arial"/>
        </w:rPr>
        <w:t>Edge artifact removal: Pixels with B8A values ≤ 0 were masked to eliminate edge artifacts from the sensor</w:t>
      </w:r>
    </w:p>
    <w:p w14:paraId="3451ECE2" w14:textId="77777777" w:rsidR="00DD3C24" w:rsidRPr="00EF5C2F" w:rsidRDefault="00000000">
      <w:pPr>
        <w:pStyle w:val="Compact"/>
        <w:numPr>
          <w:ilvl w:val="0"/>
          <w:numId w:val="2"/>
        </w:numPr>
        <w:rPr>
          <w:rFonts w:ascii="Arial" w:hAnsi="Arial" w:cs="Arial"/>
        </w:rPr>
      </w:pPr>
      <w:r w:rsidRPr="00EF5C2F">
        <w:rPr>
          <w:rFonts w:ascii="Arial" w:hAnsi="Arial" w:cs="Arial"/>
        </w:rPr>
        <w:t>Spatial aggregation: NDCI values were spatially averaged within a 500 m × 500 m region of interest (ROI) centered on each lake to minimize noise and ensure robust estimates</w:t>
      </w:r>
    </w:p>
    <w:p w14:paraId="45F97AAF" w14:textId="77777777" w:rsidR="00DD3C24" w:rsidRPr="00EF5C2F" w:rsidRDefault="00000000">
      <w:pPr>
        <w:pStyle w:val="Heading4"/>
        <w:rPr>
          <w:rFonts w:ascii="Arial" w:hAnsi="Arial" w:cs="Arial"/>
        </w:rPr>
      </w:pPr>
      <w:bookmarkStart w:id="10" w:name="modis-data-processing"/>
      <w:bookmarkEnd w:id="9"/>
      <w:r w:rsidRPr="00EF5C2F">
        <w:rPr>
          <w:rFonts w:ascii="Arial" w:hAnsi="Arial" w:cs="Arial"/>
        </w:rPr>
        <w:t>2.2.2 MODIS Data Processing</w:t>
      </w:r>
    </w:p>
    <w:p w14:paraId="0EE46A96" w14:textId="77777777" w:rsidR="00DD3C24" w:rsidRPr="00EF5C2F" w:rsidRDefault="00000000">
      <w:pPr>
        <w:pStyle w:val="FirstParagraph"/>
        <w:rPr>
          <w:rFonts w:ascii="Arial" w:hAnsi="Arial" w:cs="Arial"/>
        </w:rPr>
      </w:pPr>
      <w:r w:rsidRPr="00EF5C2F">
        <w:rPr>
          <w:rFonts w:ascii="Arial" w:hAnsi="Arial" w:cs="Arial"/>
        </w:rPr>
        <w:t>MODIS Terra and Aqua data were incorporated to extend the temporal record to 2011, as Sentinel-2 was not available before 5. Additionally, MODIS provides essential model verification data points across the full study period to maximize calibration and validation datasets. We utilized MODIS Collection 6.1 Daily Surface Reflectance products (MOD09GA for Terra, MYD09GA for Aqua) accessed through Google Earth Engine.</w:t>
      </w:r>
    </w:p>
    <w:p w14:paraId="6BD9BC41" w14:textId="77777777" w:rsidR="00DD3C24" w:rsidRPr="00EF5C2F" w:rsidRDefault="00000000">
      <w:pPr>
        <w:pStyle w:val="BodyText"/>
        <w:rPr>
          <w:rFonts w:ascii="Arial" w:hAnsi="Arial" w:cs="Arial"/>
        </w:rPr>
      </w:pPr>
      <w:r w:rsidRPr="00EF5C2F">
        <w:rPr>
          <w:rFonts w:ascii="Arial" w:hAnsi="Arial" w:cs="Arial"/>
        </w:rPr>
        <w:t>To reduce the likelihood of land contamination during reservoir drawdown events, we focused on the 500 m resolution bands, which provide better coverage over water bodies and reduce edge effects:</w:t>
      </w:r>
    </w:p>
    <w:p w14:paraId="1B17F98F" w14:textId="77777777" w:rsidR="00DD3C24" w:rsidRPr="00EF5C2F" w:rsidRDefault="00000000">
      <w:pPr>
        <w:pStyle w:val="Compact"/>
        <w:numPr>
          <w:ilvl w:val="0"/>
          <w:numId w:val="3"/>
        </w:numPr>
        <w:rPr>
          <w:rFonts w:ascii="Arial" w:hAnsi="Arial" w:cs="Arial"/>
        </w:rPr>
      </w:pPr>
      <w:r w:rsidRPr="00EF5C2F">
        <w:rPr>
          <w:rFonts w:ascii="Arial" w:hAnsi="Arial" w:cs="Arial"/>
        </w:rPr>
        <w:t>Band 1 (645 nm): Red reflectance</w:t>
      </w:r>
    </w:p>
    <w:p w14:paraId="01CDA4AA" w14:textId="77777777" w:rsidR="00DD3C24" w:rsidRPr="00EF5C2F" w:rsidRDefault="00000000">
      <w:pPr>
        <w:pStyle w:val="Compact"/>
        <w:numPr>
          <w:ilvl w:val="0"/>
          <w:numId w:val="3"/>
        </w:numPr>
        <w:rPr>
          <w:rFonts w:ascii="Arial" w:hAnsi="Arial" w:cs="Arial"/>
        </w:rPr>
      </w:pPr>
      <w:r w:rsidRPr="00EF5C2F">
        <w:rPr>
          <w:rFonts w:ascii="Arial" w:hAnsi="Arial" w:cs="Arial"/>
        </w:rPr>
        <w:t>Band 4 (555 nm): Green reflectance</w:t>
      </w:r>
    </w:p>
    <w:p w14:paraId="4932CCB3" w14:textId="1BD25766" w:rsidR="00DD3C24" w:rsidRPr="00EF5C2F" w:rsidRDefault="00000000">
      <w:pPr>
        <w:pStyle w:val="FirstParagraph"/>
        <w:rPr>
          <w:rFonts w:ascii="Arial" w:hAnsi="Arial" w:cs="Arial"/>
        </w:rPr>
      </w:pPr>
      <w:r w:rsidRPr="00EF5C2F">
        <w:rPr>
          <w:rFonts w:ascii="Arial" w:hAnsi="Arial" w:cs="Arial"/>
        </w:rPr>
        <w:t>Following ocean color algorithm conventions (Pahlevan et al.</w:t>
      </w:r>
      <w:r w:rsidR="006D7268">
        <w:rPr>
          <w:rFonts w:ascii="Arial" w:hAnsi="Arial" w:cs="Arial"/>
        </w:rPr>
        <w:t xml:space="preserve">, </w:t>
      </w:r>
      <w:r w:rsidRPr="00EF5C2F">
        <w:rPr>
          <w:rFonts w:ascii="Arial" w:hAnsi="Arial" w:cs="Arial"/>
        </w:rPr>
        <w:t>2017), we computed the green-to-red reflectance ratio as follows:</w:t>
      </w:r>
    </w:p>
    <w:p w14:paraId="3CE3B8AF" w14:textId="77777777" w:rsidR="00DD3C24" w:rsidRPr="00EF5C2F" w:rsidRDefault="00000000">
      <w:pPr>
        <w:pStyle w:val="BodyText"/>
        <w:rPr>
          <w:rFonts w:ascii="Arial" w:hAnsi="Arial" w:cs="Arial"/>
        </w:rPr>
      </w:pPr>
      <m:oMathPara>
        <m:oMathParaPr>
          <m:jc m:val="center"/>
        </m:oMathParaPr>
        <m:oMath>
          <m:r>
            <w:rPr>
              <w:rFonts w:ascii="Cambria Math" w:hAnsi="Cambria Math" w:cs="Arial"/>
            </w:rPr>
            <m:t>lo</m:t>
          </m:r>
          <m:sSub>
            <m:sSubPr>
              <m:ctrlPr>
                <w:rPr>
                  <w:rFonts w:ascii="Cambria Math" w:hAnsi="Cambria Math" w:cs="Arial"/>
                </w:rPr>
              </m:ctrlPr>
            </m:sSubPr>
            <m:e>
              <m:r>
                <w:rPr>
                  <w:rFonts w:ascii="Cambria Math" w:hAnsi="Cambria Math" w:cs="Arial"/>
                </w:rPr>
                <m:t>g</m:t>
              </m:r>
            </m:e>
            <m:sub>
              <m:r>
                <w:rPr>
                  <w:rFonts w:ascii="Cambria Math" w:hAnsi="Cambria Math" w:cs="Arial"/>
                </w:rPr>
                <m:t>10</m:t>
              </m:r>
            </m:sub>
          </m:sSub>
          <m:r>
            <m:rPr>
              <m:sty m:val="p"/>
            </m:rPr>
            <w:rPr>
              <w:rFonts w:ascii="Cambria Math" w:hAnsi="Cambria Math" w:cs="Arial"/>
            </w:rPr>
            <m:t>(</m:t>
          </m:r>
          <m:r>
            <w:rPr>
              <w:rFonts w:ascii="Cambria Math" w:hAnsi="Cambria Math" w:cs="Arial"/>
            </w:rPr>
            <m:t>Chla</m:t>
          </m:r>
          <m:r>
            <m:rPr>
              <m:sty m:val="p"/>
            </m:rPr>
            <w:rPr>
              <w:rFonts w:ascii="Cambria Math" w:hAnsi="Cambria Math" w:cs="Arial"/>
            </w:rPr>
            <m:t>)=</m:t>
          </m:r>
          <m:r>
            <w:rPr>
              <w:rFonts w:ascii="Cambria Math" w:hAnsi="Cambria Math" w:cs="Arial"/>
            </w:rPr>
            <m:t>lo</m:t>
          </m:r>
          <m:sSub>
            <m:sSubPr>
              <m:ctrlPr>
                <w:rPr>
                  <w:rFonts w:ascii="Cambria Math" w:hAnsi="Cambria Math" w:cs="Arial"/>
                </w:rPr>
              </m:ctrlPr>
            </m:sSubPr>
            <m:e>
              <m:r>
                <w:rPr>
                  <w:rFonts w:ascii="Cambria Math" w:hAnsi="Cambria Math" w:cs="Arial"/>
                </w:rPr>
                <m:t>g</m:t>
              </m:r>
            </m:e>
            <m:sub>
              <m:r>
                <w:rPr>
                  <w:rFonts w:ascii="Cambria Math" w:hAnsi="Cambria Math" w:cs="Arial"/>
                </w:rPr>
                <m:t>10</m:t>
              </m:r>
            </m:sub>
          </m:sSub>
          <m:r>
            <m:rPr>
              <m:sty m:val="p"/>
            </m:rPr>
            <w:rPr>
              <w:rFonts w:ascii="Cambria Math" w:hAnsi="Cambria Math" w:cs="Arial"/>
            </w:rPr>
            <m:t>(</m:t>
          </m:r>
          <m:r>
            <w:rPr>
              <w:rFonts w:ascii="Cambria Math" w:hAnsi="Cambria Math" w:cs="Arial"/>
            </w:rPr>
            <m:t>S</m:t>
          </m:r>
          <m:sSub>
            <m:sSubPr>
              <m:ctrlPr>
                <w:rPr>
                  <w:rFonts w:ascii="Cambria Math" w:hAnsi="Cambria Math" w:cs="Arial"/>
                </w:rPr>
              </m:ctrlPr>
            </m:sSubPr>
            <m:e>
              <m:r>
                <w:rPr>
                  <w:rFonts w:ascii="Cambria Math" w:hAnsi="Cambria Math" w:cs="Arial"/>
                </w:rPr>
                <m:t>R</m:t>
              </m:r>
            </m:e>
            <m:sub>
              <m:r>
                <w:rPr>
                  <w:rFonts w:ascii="Cambria Math" w:hAnsi="Cambria Math" w:cs="Arial"/>
                </w:rPr>
                <m:t>555</m:t>
              </m:r>
            </m:sub>
          </m:sSub>
          <m:r>
            <m:rPr>
              <m:sty m:val="p"/>
            </m:rPr>
            <w:rPr>
              <w:rFonts w:ascii="Cambria Math" w:hAnsi="Cambria Math" w:cs="Arial"/>
            </w:rPr>
            <m:t>/</m:t>
          </m:r>
          <m:r>
            <w:rPr>
              <w:rFonts w:ascii="Cambria Math" w:hAnsi="Cambria Math" w:cs="Arial"/>
            </w:rPr>
            <m:t>S</m:t>
          </m:r>
          <m:sSub>
            <m:sSubPr>
              <m:ctrlPr>
                <w:rPr>
                  <w:rFonts w:ascii="Cambria Math" w:hAnsi="Cambria Math" w:cs="Arial"/>
                </w:rPr>
              </m:ctrlPr>
            </m:sSubPr>
            <m:e>
              <m:r>
                <w:rPr>
                  <w:rFonts w:ascii="Cambria Math" w:hAnsi="Cambria Math" w:cs="Arial"/>
                </w:rPr>
                <m:t>R</m:t>
              </m:r>
            </m:e>
            <m:sub>
              <m:r>
                <w:rPr>
                  <w:rFonts w:ascii="Cambria Math" w:hAnsi="Cambria Math" w:cs="Arial"/>
                </w:rPr>
                <m:t>645</m:t>
              </m:r>
            </m:sub>
          </m:sSub>
          <m:r>
            <m:rPr>
              <m:sty m:val="p"/>
            </m:rPr>
            <w:rPr>
              <w:rFonts w:ascii="Cambria Math" w:hAnsi="Cambria Math" w:cs="Arial"/>
            </w:rPr>
            <m:t>)</m:t>
          </m:r>
        </m:oMath>
      </m:oMathPara>
    </w:p>
    <w:p w14:paraId="6894E892" w14:textId="571E2C55" w:rsidR="00DD3C24" w:rsidRPr="00EF5C2F" w:rsidRDefault="00000000">
      <w:pPr>
        <w:pStyle w:val="FirstParagraph"/>
        <w:rPr>
          <w:rFonts w:ascii="Arial" w:hAnsi="Arial" w:cs="Arial"/>
        </w:rPr>
      </w:pPr>
      <w:r w:rsidRPr="00EF5C2F">
        <w:rPr>
          <w:rFonts w:ascii="Arial" w:hAnsi="Arial" w:cs="Arial"/>
        </w:rPr>
        <w:t xml:space="preserve">where SR represents surface reflectance values scaled by the factor </w:t>
      </w:r>
      <m:oMath>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10</m:t>
            </m:r>
          </m:e>
          <m:sup>
            <m:r>
              <m:rPr>
                <m:sty m:val="p"/>
              </m:rPr>
              <w:rPr>
                <w:rFonts w:ascii="Cambria Math" w:hAnsi="Cambria Math" w:cs="Arial"/>
              </w:rPr>
              <m:t>-</m:t>
            </m:r>
            <m:r>
              <w:rPr>
                <w:rFonts w:ascii="Cambria Math" w:hAnsi="Cambria Math" w:cs="Arial"/>
              </w:rPr>
              <m:t>4</m:t>
            </m:r>
          </m:sup>
        </m:sSup>
      </m:oMath>
      <w:r w:rsidRPr="00EF5C2F">
        <w:rPr>
          <w:rFonts w:ascii="Arial" w:hAnsi="Arial" w:cs="Arial"/>
        </w:rPr>
        <w:t>. This approach ensures site-specific optimization while maintaining consistency with established ocean color methodologies.</w:t>
      </w:r>
    </w:p>
    <w:p w14:paraId="33AB1490" w14:textId="77777777" w:rsidR="00DD3C24" w:rsidRPr="00EF5C2F" w:rsidRDefault="00000000">
      <w:pPr>
        <w:pStyle w:val="Heading4"/>
        <w:rPr>
          <w:rFonts w:ascii="Arial" w:hAnsi="Arial" w:cs="Arial"/>
        </w:rPr>
      </w:pPr>
      <w:bookmarkStart w:id="11" w:name="quality-assurance-and-masking"/>
      <w:bookmarkEnd w:id="10"/>
      <w:r w:rsidRPr="00EF5C2F">
        <w:rPr>
          <w:rFonts w:ascii="Arial" w:hAnsi="Arial" w:cs="Arial"/>
        </w:rPr>
        <w:t>2.2.3 Quality Assurance and Masking</w:t>
      </w:r>
    </w:p>
    <w:p w14:paraId="4540A4E4" w14:textId="7E487FE1" w:rsidR="00DD3C24" w:rsidRPr="00EF5C2F" w:rsidRDefault="00000000">
      <w:pPr>
        <w:pStyle w:val="FirstParagraph"/>
        <w:rPr>
          <w:rFonts w:ascii="Arial" w:hAnsi="Arial" w:cs="Arial"/>
        </w:rPr>
      </w:pPr>
      <w:r w:rsidRPr="00EF5C2F">
        <w:rPr>
          <w:rFonts w:ascii="Arial" w:hAnsi="Arial" w:cs="Arial"/>
        </w:rPr>
        <w:t>For MODIS data, comprehensive quality assurance was implemented using the state_1km quality flags (Roger</w:t>
      </w:r>
      <w:r w:rsidR="006D7268">
        <w:rPr>
          <w:rFonts w:ascii="Arial" w:hAnsi="Arial" w:cs="Arial"/>
        </w:rPr>
        <w:t xml:space="preserve"> et al., </w:t>
      </w:r>
      <w:r w:rsidRPr="00EF5C2F">
        <w:rPr>
          <w:rFonts w:ascii="Arial" w:hAnsi="Arial" w:cs="Arial"/>
        </w:rPr>
        <w:t>2023):</w:t>
      </w:r>
    </w:p>
    <w:p w14:paraId="5C028ABB" w14:textId="77777777" w:rsidR="00DD3C24" w:rsidRPr="00EF5C2F" w:rsidRDefault="00000000">
      <w:pPr>
        <w:pStyle w:val="Compact"/>
        <w:numPr>
          <w:ilvl w:val="0"/>
          <w:numId w:val="4"/>
        </w:numPr>
        <w:rPr>
          <w:rFonts w:ascii="Arial" w:hAnsi="Arial" w:cs="Arial"/>
        </w:rPr>
      </w:pPr>
      <w:r w:rsidRPr="00EF5C2F">
        <w:rPr>
          <w:rFonts w:ascii="Arial" w:hAnsi="Arial" w:cs="Arial"/>
        </w:rPr>
        <w:t>Cloud masking: Pixels flagged as cloudy or mixed (bits 0-1) were excluded.</w:t>
      </w:r>
    </w:p>
    <w:p w14:paraId="689101D8" w14:textId="77777777" w:rsidR="00DD3C24" w:rsidRPr="00EF5C2F" w:rsidRDefault="00000000">
      <w:pPr>
        <w:pStyle w:val="Compact"/>
        <w:numPr>
          <w:ilvl w:val="0"/>
          <w:numId w:val="4"/>
        </w:numPr>
        <w:rPr>
          <w:rFonts w:ascii="Arial" w:hAnsi="Arial" w:cs="Arial"/>
        </w:rPr>
      </w:pPr>
      <w:r w:rsidRPr="00EF5C2F">
        <w:rPr>
          <w:rFonts w:ascii="Arial" w:hAnsi="Arial" w:cs="Arial"/>
        </w:rPr>
        <w:t>Atmospheric effects: Cloud shadow (bit 2), cirrus clouds (bits 8-9), and internal cloud algorithm flags (bit 10) were masked.</w:t>
      </w:r>
    </w:p>
    <w:p w14:paraId="1E00BA79" w14:textId="77777777" w:rsidR="00DD3C24" w:rsidRPr="00EF5C2F" w:rsidRDefault="00000000">
      <w:pPr>
        <w:pStyle w:val="Compact"/>
        <w:numPr>
          <w:ilvl w:val="0"/>
          <w:numId w:val="4"/>
        </w:numPr>
        <w:rPr>
          <w:rFonts w:ascii="Arial" w:hAnsi="Arial" w:cs="Arial"/>
        </w:rPr>
      </w:pPr>
      <w:r w:rsidRPr="00EF5C2F">
        <w:rPr>
          <w:rFonts w:ascii="Arial" w:hAnsi="Arial" w:cs="Arial"/>
        </w:rPr>
        <w:t>Surface conditions: Snow/ice pixels (bit 12) were excluded to prevent contamination.</w:t>
      </w:r>
    </w:p>
    <w:p w14:paraId="1CFE893A" w14:textId="77777777" w:rsidR="00DD3C24" w:rsidRPr="00EF5C2F" w:rsidRDefault="00000000">
      <w:pPr>
        <w:pStyle w:val="Compact"/>
        <w:numPr>
          <w:ilvl w:val="0"/>
          <w:numId w:val="4"/>
        </w:numPr>
        <w:rPr>
          <w:rFonts w:ascii="Arial" w:hAnsi="Arial" w:cs="Arial"/>
        </w:rPr>
      </w:pPr>
      <w:r w:rsidRPr="00EF5C2F">
        <w:rPr>
          <w:rFonts w:ascii="Arial" w:hAnsi="Arial" w:cs="Arial"/>
        </w:rPr>
        <w:t>Water masking: Persistent water bodies were identified using the Joint Research Centre Global Surface Water occurrence dataset (≥75% occurrence threshold).</w:t>
      </w:r>
    </w:p>
    <w:p w14:paraId="6BE344AB" w14:textId="77777777" w:rsidR="00DD3C24" w:rsidRPr="00EF5C2F" w:rsidRDefault="00000000">
      <w:pPr>
        <w:pStyle w:val="Compact"/>
        <w:numPr>
          <w:ilvl w:val="0"/>
          <w:numId w:val="4"/>
        </w:numPr>
        <w:rPr>
          <w:rFonts w:ascii="Arial" w:hAnsi="Arial" w:cs="Arial"/>
        </w:rPr>
      </w:pPr>
      <w:r w:rsidRPr="00EF5C2F">
        <w:rPr>
          <w:rFonts w:ascii="Arial" w:hAnsi="Arial" w:cs="Arial"/>
        </w:rPr>
        <w:t>Shoreline buffer: Water masks were eroded by 500 m to minimize land adjacency effects and ensure pure water pixel sampling.</w:t>
      </w:r>
    </w:p>
    <w:p w14:paraId="08CE42B8" w14:textId="77777777" w:rsidR="00DD3C24" w:rsidRPr="00EF5C2F" w:rsidRDefault="00000000">
      <w:pPr>
        <w:pStyle w:val="Heading4"/>
        <w:rPr>
          <w:rFonts w:ascii="Arial" w:hAnsi="Arial" w:cs="Arial"/>
        </w:rPr>
      </w:pPr>
      <w:bookmarkStart w:id="12" w:name="spatial-and-temporal-sampling"/>
      <w:bookmarkEnd w:id="11"/>
      <w:r w:rsidRPr="00EF5C2F">
        <w:rPr>
          <w:rFonts w:ascii="Arial" w:hAnsi="Arial" w:cs="Arial"/>
        </w:rPr>
        <w:lastRenderedPageBreak/>
        <w:t>2.2.4 Spatial and Temporal Sampling</w:t>
      </w:r>
    </w:p>
    <w:p w14:paraId="6BE24437" w14:textId="77777777" w:rsidR="00DD3C24" w:rsidRPr="00EF5C2F" w:rsidRDefault="00000000">
      <w:pPr>
        <w:pStyle w:val="FirstParagraph"/>
        <w:rPr>
          <w:rFonts w:ascii="Arial" w:hAnsi="Arial" w:cs="Arial"/>
        </w:rPr>
      </w:pPr>
      <w:r w:rsidRPr="00EF5C2F">
        <w:rPr>
          <w:rFonts w:ascii="Arial" w:hAnsi="Arial" w:cs="Arial"/>
        </w:rPr>
        <w:t>For each lake, satellite observations were extracted from a 1000 m radius circular ROI centered at the lake coordinates (Detroit Lake: 44.711°N, -122.184°W; Upper Klamath Lake: 42.400°N, -121.900°W). Temporal coverage spanned:</w:t>
      </w:r>
    </w:p>
    <w:p w14:paraId="625FD4BC" w14:textId="4A62DE1F" w:rsidR="00DD3C24" w:rsidRPr="00EF5C2F" w:rsidRDefault="00000000">
      <w:pPr>
        <w:pStyle w:val="Compact"/>
        <w:numPr>
          <w:ilvl w:val="0"/>
          <w:numId w:val="5"/>
        </w:numPr>
        <w:rPr>
          <w:rFonts w:ascii="Arial" w:hAnsi="Arial" w:cs="Arial"/>
        </w:rPr>
      </w:pPr>
      <w:r w:rsidRPr="00EF5C2F">
        <w:rPr>
          <w:rFonts w:ascii="Arial" w:hAnsi="Arial" w:cs="Arial"/>
        </w:rPr>
        <w:t>MODIS</w:t>
      </w:r>
      <w:r w:rsidR="00D1775E">
        <w:rPr>
          <w:rFonts w:ascii="Arial" w:hAnsi="Arial" w:cs="Arial"/>
        </w:rPr>
        <w:t xml:space="preserve"> (Terra + Aqua)</w:t>
      </w:r>
      <w:r w:rsidRPr="00EF5C2F">
        <w:rPr>
          <w:rFonts w:ascii="Arial" w:hAnsi="Arial" w:cs="Arial"/>
        </w:rPr>
        <w:t>: 2011 - 2025</w:t>
      </w:r>
    </w:p>
    <w:p w14:paraId="11711993" w14:textId="3D847A2F" w:rsidR="00DD3C24" w:rsidRPr="00EF5C2F" w:rsidRDefault="00000000">
      <w:pPr>
        <w:pStyle w:val="Compact"/>
        <w:numPr>
          <w:ilvl w:val="0"/>
          <w:numId w:val="5"/>
        </w:numPr>
        <w:rPr>
          <w:rFonts w:ascii="Arial" w:hAnsi="Arial" w:cs="Arial"/>
        </w:rPr>
      </w:pPr>
      <w:r w:rsidRPr="00EF5C2F">
        <w:rPr>
          <w:rFonts w:ascii="Arial" w:hAnsi="Arial" w:cs="Arial"/>
        </w:rPr>
        <w:t>Sentinel-2</w:t>
      </w:r>
      <w:r w:rsidR="00D1775E">
        <w:rPr>
          <w:rFonts w:ascii="Arial" w:hAnsi="Arial" w:cs="Arial"/>
        </w:rPr>
        <w:t xml:space="preserve"> (2A + 2B)</w:t>
      </w:r>
      <w:r w:rsidRPr="00EF5C2F">
        <w:rPr>
          <w:rFonts w:ascii="Arial" w:hAnsi="Arial" w:cs="Arial"/>
        </w:rPr>
        <w:t>: 2015 - 2025</w:t>
      </w:r>
    </w:p>
    <w:p w14:paraId="3AEED7BF" w14:textId="77777777" w:rsidR="00DD3C24" w:rsidRPr="00EF5C2F" w:rsidRDefault="00000000">
      <w:pPr>
        <w:pStyle w:val="FirstParagraph"/>
        <w:rPr>
          <w:rFonts w:ascii="Arial" w:hAnsi="Arial" w:cs="Arial"/>
        </w:rPr>
      </w:pPr>
      <w:r w:rsidRPr="00EF5C2F">
        <w:rPr>
          <w:rFonts w:ascii="Arial" w:hAnsi="Arial" w:cs="Arial"/>
        </w:rPr>
        <w:t>Statistical reduction within each ROI used the median value to minimize the influence of outliers and provide robust estimates representative of the central lake area while reducing sensitivity to residual cloud contamination or atmospheric correction artifacts.</w:t>
      </w:r>
    </w:p>
    <w:p w14:paraId="77D78ED4" w14:textId="77777777" w:rsidR="00DD3C24" w:rsidRPr="00EF5C2F" w:rsidRDefault="00000000">
      <w:pPr>
        <w:pStyle w:val="Heading3"/>
        <w:rPr>
          <w:rFonts w:ascii="Arial" w:hAnsi="Arial" w:cs="Arial"/>
        </w:rPr>
      </w:pPr>
      <w:bookmarkStart w:id="13" w:name="Xa54527378a88ca3806a20013f7afcb5c8595d94"/>
      <w:bookmarkEnd w:id="8"/>
      <w:bookmarkEnd w:id="12"/>
      <w:r w:rsidRPr="00EF5C2F">
        <w:rPr>
          <w:rFonts w:ascii="Arial" w:hAnsi="Arial" w:cs="Arial"/>
        </w:rPr>
        <w:t>2.3 Algorithm Implementation and Data Processing</w:t>
      </w:r>
    </w:p>
    <w:p w14:paraId="238F500E" w14:textId="19BB251B" w:rsidR="00DD3C24" w:rsidRPr="00EF5C2F" w:rsidRDefault="00000000">
      <w:pPr>
        <w:pStyle w:val="FirstParagraph"/>
        <w:rPr>
          <w:rFonts w:ascii="Arial" w:hAnsi="Arial" w:cs="Arial"/>
        </w:rPr>
      </w:pPr>
      <w:r w:rsidRPr="00EF5C2F">
        <w:rPr>
          <w:rFonts w:ascii="Arial" w:hAnsi="Arial" w:cs="Arial"/>
        </w:rPr>
        <w:t>All satellite data processing was implemented using Python and the Google Earth Engine cloud computing platform (Gorelick et al.</w:t>
      </w:r>
      <w:r w:rsidR="006D7268">
        <w:rPr>
          <w:rFonts w:ascii="Arial" w:hAnsi="Arial" w:cs="Arial"/>
        </w:rPr>
        <w:t xml:space="preserve">, </w:t>
      </w:r>
      <w:r w:rsidRPr="00EF5C2F">
        <w:rPr>
          <w:rFonts w:ascii="Arial" w:hAnsi="Arial" w:cs="Arial"/>
        </w:rPr>
        <w:t>2017). The standardized workflow consisted of several key steps:</w:t>
      </w:r>
    </w:p>
    <w:p w14:paraId="4BFEF849" w14:textId="77777777" w:rsidR="00DD3C24" w:rsidRPr="00EF5C2F" w:rsidRDefault="00000000">
      <w:pPr>
        <w:pStyle w:val="Compact"/>
        <w:numPr>
          <w:ilvl w:val="0"/>
          <w:numId w:val="6"/>
        </w:numPr>
        <w:rPr>
          <w:rFonts w:ascii="Arial" w:hAnsi="Arial" w:cs="Arial"/>
        </w:rPr>
      </w:pPr>
      <w:r w:rsidRPr="00EF5C2F">
        <w:rPr>
          <w:rFonts w:ascii="Arial" w:hAnsi="Arial" w:cs="Arial"/>
        </w:rPr>
        <w:t>Data filtering: Image collections were filtered by date range and geographic bounds</w:t>
      </w:r>
    </w:p>
    <w:p w14:paraId="0F87E223" w14:textId="77777777" w:rsidR="00DD3C24" w:rsidRPr="00EF5C2F" w:rsidRDefault="00000000">
      <w:pPr>
        <w:pStyle w:val="Compact"/>
        <w:numPr>
          <w:ilvl w:val="0"/>
          <w:numId w:val="6"/>
        </w:numPr>
        <w:rPr>
          <w:rFonts w:ascii="Arial" w:hAnsi="Arial" w:cs="Arial"/>
        </w:rPr>
      </w:pPr>
      <w:r w:rsidRPr="00EF5C2F">
        <w:rPr>
          <w:rFonts w:ascii="Arial" w:hAnsi="Arial" w:cs="Arial"/>
        </w:rPr>
        <w:t>Quality masking: Comprehensive atmospheric, cloud, and land contamination masks were applied</w:t>
      </w:r>
    </w:p>
    <w:p w14:paraId="6AFB157B" w14:textId="122056B5" w:rsidR="00DD3C24" w:rsidRPr="00EF5C2F" w:rsidRDefault="00000000">
      <w:pPr>
        <w:pStyle w:val="Compact"/>
        <w:numPr>
          <w:ilvl w:val="0"/>
          <w:numId w:val="6"/>
        </w:numPr>
        <w:rPr>
          <w:rFonts w:ascii="Arial" w:hAnsi="Arial" w:cs="Arial"/>
        </w:rPr>
      </w:pPr>
      <w:r w:rsidRPr="00EF5C2F">
        <w:rPr>
          <w:rFonts w:ascii="Arial" w:hAnsi="Arial" w:cs="Arial"/>
        </w:rPr>
        <w:t xml:space="preserve">Index calculation: Spectral indices (NDCI for Sentinel-2, </w:t>
      </w:r>
      <w:r w:rsidR="00D1775E">
        <w:rPr>
          <w:rFonts w:ascii="Arial" w:hAnsi="Arial" w:cs="Arial"/>
        </w:rPr>
        <w:t>log ratio</w:t>
      </w:r>
      <w:r w:rsidRPr="00EF5C2F">
        <w:rPr>
          <w:rFonts w:ascii="Arial" w:hAnsi="Arial" w:cs="Arial"/>
        </w:rPr>
        <w:t xml:space="preserve"> for MODIS) were computed following established methodologies</w:t>
      </w:r>
    </w:p>
    <w:p w14:paraId="3D73F570" w14:textId="77777777" w:rsidR="00DD3C24" w:rsidRPr="00EF5C2F" w:rsidRDefault="00000000">
      <w:pPr>
        <w:pStyle w:val="Compact"/>
        <w:numPr>
          <w:ilvl w:val="0"/>
          <w:numId w:val="6"/>
        </w:numPr>
        <w:rPr>
          <w:rFonts w:ascii="Arial" w:hAnsi="Arial" w:cs="Arial"/>
        </w:rPr>
      </w:pPr>
      <w:r w:rsidRPr="00EF5C2F">
        <w:rPr>
          <w:rFonts w:ascii="Arial" w:hAnsi="Arial" w:cs="Arial"/>
        </w:rPr>
        <w:t>Spatial aggregation: Values were reduced to single representative statistics per image using median reduction</w:t>
      </w:r>
    </w:p>
    <w:p w14:paraId="249B96CA" w14:textId="77777777" w:rsidR="00DD3C24" w:rsidRPr="00EF5C2F" w:rsidRDefault="00000000">
      <w:pPr>
        <w:pStyle w:val="Compact"/>
        <w:numPr>
          <w:ilvl w:val="0"/>
          <w:numId w:val="6"/>
        </w:numPr>
        <w:rPr>
          <w:rFonts w:ascii="Arial" w:hAnsi="Arial" w:cs="Arial"/>
        </w:rPr>
      </w:pPr>
      <w:r w:rsidRPr="00EF5C2F">
        <w:rPr>
          <w:rFonts w:ascii="Arial" w:hAnsi="Arial" w:cs="Arial"/>
        </w:rPr>
        <w:t>Temporal matching: Satellite observations were matched to in situ measurements within ±5 days to account for temporal variability</w:t>
      </w:r>
    </w:p>
    <w:p w14:paraId="7FF499B2" w14:textId="77777777" w:rsidR="00DD3C24" w:rsidRPr="00EF5C2F" w:rsidRDefault="00000000">
      <w:pPr>
        <w:pStyle w:val="Compact"/>
        <w:numPr>
          <w:ilvl w:val="0"/>
          <w:numId w:val="6"/>
        </w:numPr>
        <w:rPr>
          <w:rFonts w:ascii="Arial" w:hAnsi="Arial" w:cs="Arial"/>
        </w:rPr>
      </w:pPr>
      <w:r w:rsidRPr="00EF5C2F">
        <w:rPr>
          <w:rFonts w:ascii="Arial" w:hAnsi="Arial" w:cs="Arial"/>
        </w:rPr>
        <w:t>Data export: Processed time series were exported as CSV files for subsequent calibration and validation analysis</w:t>
      </w:r>
    </w:p>
    <w:p w14:paraId="65B94B75" w14:textId="694DE1F1" w:rsidR="00DD3C24" w:rsidRPr="00EF5C2F" w:rsidRDefault="00000000">
      <w:pPr>
        <w:pStyle w:val="FirstParagraph"/>
        <w:rPr>
          <w:rFonts w:ascii="Arial" w:hAnsi="Arial" w:cs="Arial"/>
        </w:rPr>
      </w:pPr>
      <w:r w:rsidRPr="00EF5C2F">
        <w:rPr>
          <w:rFonts w:ascii="Arial" w:hAnsi="Arial" w:cs="Arial"/>
        </w:rPr>
        <w:t>The processing approach ensured consistency across sensors while maintaining the unique characteristics and optimal algorithms for each satellite platform. Raw spectral indices were exported without applying hardcoded empirical transformations, preserving data integrity for subsequent calibration procedures (Johansen et al.</w:t>
      </w:r>
      <w:r w:rsidR="006D7268">
        <w:rPr>
          <w:rFonts w:ascii="Arial" w:hAnsi="Arial" w:cs="Arial"/>
        </w:rPr>
        <w:t xml:space="preserve">, </w:t>
      </w:r>
      <w:r w:rsidRPr="00EF5C2F">
        <w:rPr>
          <w:rFonts w:ascii="Arial" w:hAnsi="Arial" w:cs="Arial"/>
        </w:rPr>
        <w:t>2024).</w:t>
      </w:r>
    </w:p>
    <w:p w14:paraId="1090A2D8" w14:textId="77777777" w:rsidR="00DD3C24" w:rsidRPr="00EF5C2F" w:rsidRDefault="00000000">
      <w:pPr>
        <w:pStyle w:val="Heading3"/>
        <w:rPr>
          <w:rFonts w:ascii="Arial" w:hAnsi="Arial" w:cs="Arial"/>
        </w:rPr>
      </w:pPr>
      <w:bookmarkStart w:id="14" w:name="Xccf30d29659120b4749aaabfe6fbeeb37a96c24"/>
      <w:bookmarkEnd w:id="13"/>
      <w:r w:rsidRPr="00EF5C2F">
        <w:rPr>
          <w:rFonts w:ascii="Arial" w:hAnsi="Arial" w:cs="Arial"/>
        </w:rPr>
        <w:t>2.4 Satellite Data Calibration and Validation</w:t>
      </w:r>
    </w:p>
    <w:p w14:paraId="17C3FC0F" w14:textId="77777777" w:rsidR="00DD3C24" w:rsidRPr="00EF5C2F" w:rsidRDefault="00000000">
      <w:pPr>
        <w:pStyle w:val="Heading4"/>
        <w:rPr>
          <w:rFonts w:ascii="Arial" w:hAnsi="Arial" w:cs="Arial"/>
        </w:rPr>
      </w:pPr>
      <w:bookmarkStart w:id="15" w:name="X2bf81cfa79e149c383385759ffd1b25cb041be0"/>
      <w:r w:rsidRPr="00EF5C2F">
        <w:rPr>
          <w:rFonts w:ascii="Arial" w:hAnsi="Arial" w:cs="Arial"/>
        </w:rPr>
        <w:t>2.4.1 In Situ Data Integration and Temporal Matching</w:t>
      </w:r>
    </w:p>
    <w:p w14:paraId="54A978C8" w14:textId="77777777" w:rsidR="00DD3C24" w:rsidRPr="00EF5C2F" w:rsidRDefault="00000000">
      <w:pPr>
        <w:pStyle w:val="FirstParagraph"/>
        <w:rPr>
          <w:rFonts w:ascii="Arial" w:hAnsi="Arial" w:cs="Arial"/>
        </w:rPr>
      </w:pPr>
      <w:r w:rsidRPr="00EF5C2F">
        <w:rPr>
          <w:rFonts w:ascii="Arial" w:hAnsi="Arial" w:cs="Arial"/>
        </w:rPr>
        <w:t>Satellite observations were temporally matched with in situ chlorophyll measurements using a ±5 day tolerance window. For each satellite observation, the closest in situ measurement within this window was identified and paired for calibration. This tolerance balances the need for temporal proximity while maintaining sufficient sample sizes for robust statistical analysis.</w:t>
      </w:r>
    </w:p>
    <w:p w14:paraId="048B6661" w14:textId="77777777" w:rsidR="00DD3C24" w:rsidRPr="00EF5C2F" w:rsidRDefault="00000000">
      <w:pPr>
        <w:pStyle w:val="Heading4"/>
        <w:rPr>
          <w:rFonts w:ascii="Arial" w:hAnsi="Arial" w:cs="Arial"/>
        </w:rPr>
      </w:pPr>
      <w:bookmarkStart w:id="16" w:name="sensor-specific-calibration-methodology"/>
      <w:bookmarkEnd w:id="15"/>
      <w:r w:rsidRPr="00EF5C2F">
        <w:rPr>
          <w:rFonts w:ascii="Arial" w:hAnsi="Arial" w:cs="Arial"/>
        </w:rPr>
        <w:lastRenderedPageBreak/>
        <w:t>2.4.2 Sensor-Specific Calibration Methodology</w:t>
      </w:r>
    </w:p>
    <w:p w14:paraId="72E342EB" w14:textId="77777777" w:rsidR="00DD3C24" w:rsidRPr="00EF5C2F" w:rsidRDefault="00000000">
      <w:pPr>
        <w:pStyle w:val="FirstParagraph"/>
        <w:rPr>
          <w:rFonts w:ascii="Arial" w:hAnsi="Arial" w:cs="Arial"/>
        </w:rPr>
      </w:pPr>
      <w:r w:rsidRPr="00EF5C2F">
        <w:rPr>
          <w:rFonts w:ascii="Arial" w:hAnsi="Arial" w:cs="Arial"/>
        </w:rPr>
        <w:t>Each satellite sensor was calibrated independently against in situ measurements to account for sensor-specific characteristics and avoid propagation of cross-sensor errors. Calibration datasets underwent rigorous quality control through three key steps. First, negative value removal excluded in situ chlorophyll measurements of 0 μg/L or less, as these values are physically unrealistic. Second, extreme value filtering removed NDCI values outside the range of -0.5 to 0.8 to eliminate atmospheric correction artifacts. Finally, finite value validation excluded all infinite, undefined, or missing values from the analysis. Robust regression using Huber estimators was employed to minimize the influence of outliers on calibration parameters. The Huber estimator provides resistance to outliers while maintaining efficiency for normally distributed data. Model performance was evaluated using coefficient of determination (R²) and root mean square error (RMSE) metrics.</w:t>
      </w:r>
    </w:p>
    <w:p w14:paraId="138B2D9B" w14:textId="77777777" w:rsidR="00DD3C24" w:rsidRPr="00EF5C2F" w:rsidRDefault="00000000">
      <w:pPr>
        <w:pStyle w:val="Heading4"/>
        <w:rPr>
          <w:rFonts w:ascii="Arial" w:hAnsi="Arial" w:cs="Arial"/>
        </w:rPr>
      </w:pPr>
      <w:bookmarkStart w:id="17" w:name="post-calibration-quality-control"/>
      <w:bookmarkEnd w:id="16"/>
      <w:r w:rsidRPr="00EF5C2F">
        <w:rPr>
          <w:rFonts w:ascii="Arial" w:hAnsi="Arial" w:cs="Arial"/>
        </w:rPr>
        <w:t>2.4.3 Post-Calibration Quality Control</w:t>
      </w:r>
    </w:p>
    <w:p w14:paraId="5D614CED" w14:textId="77777777" w:rsidR="00DD3C24" w:rsidRPr="00EF5C2F" w:rsidRDefault="00000000">
      <w:pPr>
        <w:pStyle w:val="FirstParagraph"/>
        <w:rPr>
          <w:rFonts w:ascii="Arial" w:hAnsi="Arial" w:cs="Arial"/>
        </w:rPr>
      </w:pPr>
      <w:r w:rsidRPr="00EF5C2F">
        <w:rPr>
          <w:rFonts w:ascii="Arial" w:hAnsi="Arial" w:cs="Arial"/>
        </w:rPr>
        <w:t>Calibrated chlorophyll estimates underwent final quality control to ensure biological realism. Range filtering excluded values outside 0-400 μg/L as these exceed typical freshwater chlorophyll concentrations. Statistical validation compared calibrated estimates against independent validation datasets to verify accuracy. Additionally, visual inspection of time series plots examined temporal consistency and seasonal patterns to identify any anomalies or unexpected variations in the data.</w:t>
      </w:r>
    </w:p>
    <w:p w14:paraId="78D11415" w14:textId="77777777" w:rsidR="00DD3C24" w:rsidRPr="00EF5C2F" w:rsidRDefault="00000000">
      <w:pPr>
        <w:pStyle w:val="Heading4"/>
        <w:rPr>
          <w:rFonts w:ascii="Arial" w:hAnsi="Arial" w:cs="Arial"/>
        </w:rPr>
      </w:pPr>
      <w:bookmarkStart w:id="18" w:name="data-analysis-and-visualization"/>
      <w:bookmarkEnd w:id="17"/>
      <w:r w:rsidRPr="00EF5C2F">
        <w:rPr>
          <w:rFonts w:ascii="Arial" w:hAnsi="Arial" w:cs="Arial"/>
        </w:rPr>
        <w:t>2.4.4 Data Analysis and Visualization</w:t>
      </w:r>
    </w:p>
    <w:p w14:paraId="07FC70BA" w14:textId="77777777" w:rsidR="00DD3C24" w:rsidRPr="00EF5C2F" w:rsidRDefault="00000000">
      <w:pPr>
        <w:pStyle w:val="FirstParagraph"/>
        <w:rPr>
          <w:rFonts w:ascii="Arial" w:hAnsi="Arial" w:cs="Arial"/>
        </w:rPr>
      </w:pPr>
      <w:r w:rsidRPr="00EF5C2F">
        <w:rPr>
          <w:rFonts w:ascii="Arial" w:hAnsi="Arial" w:cs="Arial"/>
        </w:rPr>
        <w:t>Calibrated satellite time series were analyzed for temporal patterns and sensor consistency. Statistical summaries included data availability, dynamic range, and seasonal variability. Comparative analysis between sensors assessed relative performance and identified systematic differences. All analyses were conducted using Python scientific computing libraries including pandas, numpy, scikit-learn, and matplotlib.</w:t>
      </w:r>
    </w:p>
    <w:p w14:paraId="7A7D5639" w14:textId="77777777" w:rsidR="00DD3C24" w:rsidRPr="00EF5C2F" w:rsidRDefault="00000000" w:rsidP="006D7268">
      <w:pPr>
        <w:pStyle w:val="Heading2"/>
      </w:pPr>
      <w:bookmarkStart w:id="19" w:name="results"/>
      <w:bookmarkEnd w:id="6"/>
      <w:bookmarkEnd w:id="14"/>
      <w:bookmarkEnd w:id="18"/>
      <w:r w:rsidRPr="00EF5C2F">
        <w:t>3. Results</w:t>
      </w:r>
    </w:p>
    <w:p w14:paraId="3561D3ED" w14:textId="77777777" w:rsidR="00DD3C24" w:rsidRPr="00EF5C2F" w:rsidRDefault="00000000">
      <w:pPr>
        <w:pStyle w:val="Heading3"/>
        <w:rPr>
          <w:rFonts w:ascii="Arial" w:hAnsi="Arial" w:cs="Arial"/>
        </w:rPr>
      </w:pPr>
      <w:bookmarkStart w:id="20" w:name="Xe008a71cf1c43742654b2fb7a96da39db29ff77"/>
      <w:r w:rsidRPr="00EF5C2F">
        <w:rPr>
          <w:rFonts w:ascii="Arial" w:hAnsi="Arial" w:cs="Arial"/>
        </w:rPr>
        <w:t>3.1 Calibration Performance and Statistical Validation</w:t>
      </w:r>
    </w:p>
    <w:p w14:paraId="050BF14F" w14:textId="77777777" w:rsidR="00DD3C24" w:rsidRPr="00EF5C2F" w:rsidRDefault="00000000">
      <w:pPr>
        <w:pStyle w:val="FirstParagraph"/>
        <w:rPr>
          <w:rFonts w:ascii="Arial" w:hAnsi="Arial" w:cs="Arial"/>
        </w:rPr>
      </w:pPr>
      <w:r w:rsidRPr="00EF5C2F">
        <w:rPr>
          <w:rFonts w:ascii="Arial" w:hAnsi="Arial" w:cs="Arial"/>
        </w:rPr>
        <w:t>Despite implementing robust calibration methodology, satellite chlorophyll estimation presented significant challenges in achieving accurate relationships with in situ measurements. Table 1 summarizes the calibration performance for each sensor system.</w:t>
      </w:r>
    </w:p>
    <w:p w14:paraId="281F8654" w14:textId="77777777" w:rsidR="00D1775E" w:rsidRDefault="00D1775E">
      <w:pPr>
        <w:rPr>
          <w:rFonts w:ascii="Arial" w:hAnsi="Arial" w:cs="Arial"/>
          <w:b/>
          <w:bCs/>
        </w:rPr>
      </w:pPr>
      <w:r>
        <w:rPr>
          <w:rFonts w:ascii="Arial" w:hAnsi="Arial" w:cs="Arial"/>
          <w:b/>
          <w:bCs/>
        </w:rPr>
        <w:br w:type="page"/>
      </w:r>
    </w:p>
    <w:p w14:paraId="36351EBE" w14:textId="7DAB1A5E" w:rsidR="00DD3C24" w:rsidRPr="00EF5C2F" w:rsidRDefault="00000000">
      <w:pPr>
        <w:pStyle w:val="BodyText"/>
        <w:rPr>
          <w:rFonts w:ascii="Arial" w:hAnsi="Arial" w:cs="Arial"/>
        </w:rPr>
      </w:pPr>
      <w:r w:rsidRPr="00EF5C2F">
        <w:rPr>
          <w:rFonts w:ascii="Arial" w:hAnsi="Arial" w:cs="Arial"/>
          <w:b/>
          <w:bCs/>
        </w:rPr>
        <w:lastRenderedPageBreak/>
        <w:t>Table 1. Satellite chlorophyll calibration performance metrics for Upper Klamath Lake.</w:t>
      </w:r>
    </w:p>
    <w:tbl>
      <w:tblPr>
        <w:tblStyle w:val="Table"/>
        <w:tblW w:w="4999" w:type="pct"/>
        <w:tblLayout w:type="fixed"/>
        <w:tblLook w:val="0020" w:firstRow="1" w:lastRow="0" w:firstColumn="0" w:lastColumn="0" w:noHBand="0" w:noVBand="0"/>
      </w:tblPr>
      <w:tblGrid>
        <w:gridCol w:w="1341"/>
        <w:gridCol w:w="1557"/>
        <w:gridCol w:w="810"/>
        <w:gridCol w:w="990"/>
        <w:gridCol w:w="900"/>
        <w:gridCol w:w="1080"/>
        <w:gridCol w:w="2896"/>
      </w:tblGrid>
      <w:tr w:rsidR="00DD3C24" w:rsidRPr="00D1775E" w14:paraId="6F47F94E" w14:textId="77777777" w:rsidTr="00D1775E">
        <w:trPr>
          <w:cnfStyle w:val="100000000000" w:firstRow="1" w:lastRow="0" w:firstColumn="0" w:lastColumn="0" w:oddVBand="0" w:evenVBand="0" w:oddHBand="0" w:evenHBand="0" w:firstRowFirstColumn="0" w:firstRowLastColumn="0" w:lastRowFirstColumn="0" w:lastRowLastColumn="0"/>
        </w:trPr>
        <w:tc>
          <w:tcPr>
            <w:tcW w:w="1341" w:type="dxa"/>
          </w:tcPr>
          <w:p w14:paraId="2EE93DF5" w14:textId="77777777" w:rsidR="00DD3C24" w:rsidRPr="00D1775E" w:rsidRDefault="00000000">
            <w:pPr>
              <w:pStyle w:val="Compact"/>
              <w:rPr>
                <w:rFonts w:ascii="Arial" w:hAnsi="Arial" w:cs="Arial"/>
                <w:sz w:val="20"/>
                <w:szCs w:val="20"/>
              </w:rPr>
            </w:pPr>
            <w:r w:rsidRPr="00D1775E">
              <w:rPr>
                <w:rFonts w:ascii="Arial" w:hAnsi="Arial" w:cs="Arial"/>
                <w:sz w:val="20"/>
                <w:szCs w:val="20"/>
              </w:rPr>
              <w:t>Sensor</w:t>
            </w:r>
          </w:p>
        </w:tc>
        <w:tc>
          <w:tcPr>
            <w:tcW w:w="1557" w:type="dxa"/>
          </w:tcPr>
          <w:p w14:paraId="44FABF2A"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Matched Observations</w:t>
            </w:r>
          </w:p>
        </w:tc>
        <w:tc>
          <w:tcPr>
            <w:tcW w:w="810" w:type="dxa"/>
          </w:tcPr>
          <w:p w14:paraId="62847BF5"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R²</w:t>
            </w:r>
          </w:p>
        </w:tc>
        <w:tc>
          <w:tcPr>
            <w:tcW w:w="990" w:type="dxa"/>
          </w:tcPr>
          <w:p w14:paraId="0F944DB5"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RMSE</w:t>
            </w:r>
          </w:p>
        </w:tc>
        <w:tc>
          <w:tcPr>
            <w:tcW w:w="900" w:type="dxa"/>
          </w:tcPr>
          <w:p w14:paraId="4775DB37"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Slope</w:t>
            </w:r>
          </w:p>
        </w:tc>
        <w:tc>
          <w:tcPr>
            <w:tcW w:w="1080" w:type="dxa"/>
          </w:tcPr>
          <w:p w14:paraId="0F67AB3E"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Intercept</w:t>
            </w:r>
          </w:p>
        </w:tc>
        <w:tc>
          <w:tcPr>
            <w:tcW w:w="2896" w:type="dxa"/>
          </w:tcPr>
          <w:p w14:paraId="17213055" w14:textId="77777777" w:rsidR="00DD3C24" w:rsidRPr="00D1775E" w:rsidRDefault="00000000">
            <w:pPr>
              <w:pStyle w:val="Compact"/>
              <w:jc w:val="center"/>
              <w:rPr>
                <w:rFonts w:ascii="Arial" w:hAnsi="Arial" w:cs="Arial"/>
                <w:sz w:val="20"/>
                <w:szCs w:val="20"/>
              </w:rPr>
            </w:pPr>
            <w:r w:rsidRPr="00D1775E">
              <w:rPr>
                <w:rFonts w:ascii="Arial" w:hAnsi="Arial" w:cs="Arial"/>
                <w:sz w:val="20"/>
                <w:szCs w:val="20"/>
              </w:rPr>
              <w:t>Equation</w:t>
            </w:r>
          </w:p>
        </w:tc>
      </w:tr>
      <w:tr w:rsidR="00DD3C24" w:rsidRPr="00D1775E" w14:paraId="401D305B" w14:textId="77777777" w:rsidTr="00D1775E">
        <w:tc>
          <w:tcPr>
            <w:tcW w:w="1341" w:type="dxa"/>
          </w:tcPr>
          <w:p w14:paraId="373409AA" w14:textId="77777777" w:rsidR="00DD3C24" w:rsidRPr="00D1775E" w:rsidRDefault="00000000">
            <w:pPr>
              <w:pStyle w:val="Compact"/>
              <w:rPr>
                <w:rFonts w:ascii="Arial" w:hAnsi="Arial" w:cs="Arial"/>
                <w:sz w:val="20"/>
                <w:szCs w:val="20"/>
              </w:rPr>
            </w:pPr>
            <w:r w:rsidRPr="00D1775E">
              <w:rPr>
                <w:rFonts w:ascii="Arial" w:hAnsi="Arial" w:cs="Arial"/>
                <w:sz w:val="20"/>
                <w:szCs w:val="20"/>
              </w:rPr>
              <w:t>MODIS Terra</w:t>
            </w:r>
          </w:p>
        </w:tc>
        <w:tc>
          <w:tcPr>
            <w:tcW w:w="1557" w:type="dxa"/>
          </w:tcPr>
          <w:p w14:paraId="6263A0FD"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1,710</w:t>
            </w:r>
          </w:p>
        </w:tc>
        <w:tc>
          <w:tcPr>
            <w:tcW w:w="810" w:type="dxa"/>
          </w:tcPr>
          <w:p w14:paraId="2323E8C5"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0.068</w:t>
            </w:r>
          </w:p>
        </w:tc>
        <w:tc>
          <w:tcPr>
            <w:tcW w:w="990" w:type="dxa"/>
          </w:tcPr>
          <w:p w14:paraId="33A5A5C2"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0.483</w:t>
            </w:r>
          </w:p>
        </w:tc>
        <w:tc>
          <w:tcPr>
            <w:tcW w:w="900" w:type="dxa"/>
          </w:tcPr>
          <w:p w14:paraId="74D4D54C"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1.076</w:t>
            </w:r>
          </w:p>
        </w:tc>
        <w:tc>
          <w:tcPr>
            <w:tcW w:w="1080" w:type="dxa"/>
          </w:tcPr>
          <w:p w14:paraId="2407ABF0"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1.498</w:t>
            </w:r>
          </w:p>
        </w:tc>
        <w:tc>
          <w:tcPr>
            <w:tcW w:w="2896" w:type="dxa"/>
          </w:tcPr>
          <w:p w14:paraId="555BDC3F" w14:textId="77777777" w:rsidR="00DD3C24" w:rsidRPr="00D1775E" w:rsidRDefault="00000000">
            <w:pPr>
              <w:pStyle w:val="Compact"/>
              <w:jc w:val="center"/>
              <w:rPr>
                <w:rFonts w:ascii="Arial" w:hAnsi="Arial" w:cs="Arial"/>
                <w:sz w:val="20"/>
                <w:szCs w:val="20"/>
              </w:rPr>
            </w:pPr>
            <w:r w:rsidRPr="00D1775E">
              <w:rPr>
                <w:rFonts w:ascii="Arial" w:hAnsi="Arial" w:cs="Arial"/>
                <w:sz w:val="20"/>
                <w:szCs w:val="20"/>
              </w:rPr>
              <w:t>log</w:t>
            </w:r>
            <w:r w:rsidRPr="00D1775E">
              <w:rPr>
                <w:rFonts w:ascii="Cambria Math" w:hAnsi="Cambria Math" w:cs="Cambria Math"/>
                <w:sz w:val="20"/>
                <w:szCs w:val="20"/>
              </w:rPr>
              <w:t>₁₀</w:t>
            </w:r>
            <w:r w:rsidRPr="00D1775E">
              <w:rPr>
                <w:rFonts w:ascii="Arial" w:hAnsi="Arial" w:cs="Arial"/>
                <w:sz w:val="20"/>
                <w:szCs w:val="20"/>
              </w:rPr>
              <w:t>(Chl) = 1.076 × log_ratio + 1.498</w:t>
            </w:r>
          </w:p>
        </w:tc>
      </w:tr>
      <w:tr w:rsidR="00DD3C24" w:rsidRPr="00D1775E" w14:paraId="5C68D2A9" w14:textId="77777777" w:rsidTr="00D1775E">
        <w:tc>
          <w:tcPr>
            <w:tcW w:w="1341" w:type="dxa"/>
          </w:tcPr>
          <w:p w14:paraId="3AD4FA3C" w14:textId="77777777" w:rsidR="00DD3C24" w:rsidRPr="00D1775E" w:rsidRDefault="00000000">
            <w:pPr>
              <w:pStyle w:val="Compact"/>
              <w:rPr>
                <w:rFonts w:ascii="Arial" w:hAnsi="Arial" w:cs="Arial"/>
                <w:sz w:val="20"/>
                <w:szCs w:val="20"/>
              </w:rPr>
            </w:pPr>
            <w:r w:rsidRPr="00D1775E">
              <w:rPr>
                <w:rFonts w:ascii="Arial" w:hAnsi="Arial" w:cs="Arial"/>
                <w:sz w:val="20"/>
                <w:szCs w:val="20"/>
              </w:rPr>
              <w:t>MODIS Aqua</w:t>
            </w:r>
          </w:p>
        </w:tc>
        <w:tc>
          <w:tcPr>
            <w:tcW w:w="1557" w:type="dxa"/>
          </w:tcPr>
          <w:p w14:paraId="1790AE36"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1,637</w:t>
            </w:r>
          </w:p>
        </w:tc>
        <w:tc>
          <w:tcPr>
            <w:tcW w:w="810" w:type="dxa"/>
          </w:tcPr>
          <w:p w14:paraId="2477FC00"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0.083</w:t>
            </w:r>
          </w:p>
        </w:tc>
        <w:tc>
          <w:tcPr>
            <w:tcW w:w="990" w:type="dxa"/>
          </w:tcPr>
          <w:p w14:paraId="2A0B5030"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0.480</w:t>
            </w:r>
          </w:p>
        </w:tc>
        <w:tc>
          <w:tcPr>
            <w:tcW w:w="900" w:type="dxa"/>
          </w:tcPr>
          <w:p w14:paraId="0F100028"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1.279</w:t>
            </w:r>
          </w:p>
        </w:tc>
        <w:tc>
          <w:tcPr>
            <w:tcW w:w="1080" w:type="dxa"/>
          </w:tcPr>
          <w:p w14:paraId="73E2B347"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1.407</w:t>
            </w:r>
          </w:p>
        </w:tc>
        <w:tc>
          <w:tcPr>
            <w:tcW w:w="2896" w:type="dxa"/>
          </w:tcPr>
          <w:p w14:paraId="5B04A633" w14:textId="77777777" w:rsidR="00DD3C24" w:rsidRPr="00D1775E" w:rsidRDefault="00000000">
            <w:pPr>
              <w:pStyle w:val="Compact"/>
              <w:jc w:val="center"/>
              <w:rPr>
                <w:rFonts w:ascii="Arial" w:hAnsi="Arial" w:cs="Arial"/>
                <w:sz w:val="20"/>
                <w:szCs w:val="20"/>
              </w:rPr>
            </w:pPr>
            <w:r w:rsidRPr="00D1775E">
              <w:rPr>
                <w:rFonts w:ascii="Arial" w:hAnsi="Arial" w:cs="Arial"/>
                <w:sz w:val="20"/>
                <w:szCs w:val="20"/>
              </w:rPr>
              <w:t>log</w:t>
            </w:r>
            <w:r w:rsidRPr="00D1775E">
              <w:rPr>
                <w:rFonts w:ascii="Cambria Math" w:hAnsi="Cambria Math" w:cs="Cambria Math"/>
                <w:sz w:val="20"/>
                <w:szCs w:val="20"/>
              </w:rPr>
              <w:t>₁₀</w:t>
            </w:r>
            <w:r w:rsidRPr="00D1775E">
              <w:rPr>
                <w:rFonts w:ascii="Arial" w:hAnsi="Arial" w:cs="Arial"/>
                <w:sz w:val="20"/>
                <w:szCs w:val="20"/>
              </w:rPr>
              <w:t>(Chl) = 1.279 × log_ratio + 1.407</w:t>
            </w:r>
          </w:p>
        </w:tc>
      </w:tr>
      <w:tr w:rsidR="00DD3C24" w:rsidRPr="00D1775E" w14:paraId="571EBCA7" w14:textId="77777777" w:rsidTr="00D1775E">
        <w:tc>
          <w:tcPr>
            <w:tcW w:w="1341" w:type="dxa"/>
          </w:tcPr>
          <w:p w14:paraId="3C6678F5" w14:textId="77777777" w:rsidR="00DD3C24" w:rsidRPr="00D1775E" w:rsidRDefault="00000000">
            <w:pPr>
              <w:pStyle w:val="Compact"/>
              <w:rPr>
                <w:rFonts w:ascii="Arial" w:hAnsi="Arial" w:cs="Arial"/>
                <w:sz w:val="20"/>
                <w:szCs w:val="20"/>
              </w:rPr>
            </w:pPr>
            <w:r w:rsidRPr="00D1775E">
              <w:rPr>
                <w:rFonts w:ascii="Arial" w:hAnsi="Arial" w:cs="Arial"/>
                <w:sz w:val="20"/>
                <w:szCs w:val="20"/>
              </w:rPr>
              <w:t>Sentinel-2</w:t>
            </w:r>
          </w:p>
        </w:tc>
        <w:tc>
          <w:tcPr>
            <w:tcW w:w="1557" w:type="dxa"/>
          </w:tcPr>
          <w:p w14:paraId="423B277F"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1,139</w:t>
            </w:r>
          </w:p>
        </w:tc>
        <w:tc>
          <w:tcPr>
            <w:tcW w:w="810" w:type="dxa"/>
          </w:tcPr>
          <w:p w14:paraId="7266FA77"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-0.040</w:t>
            </w:r>
          </w:p>
        </w:tc>
        <w:tc>
          <w:tcPr>
            <w:tcW w:w="990" w:type="dxa"/>
          </w:tcPr>
          <w:p w14:paraId="73A3A46F"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61.489</w:t>
            </w:r>
          </w:p>
        </w:tc>
        <w:tc>
          <w:tcPr>
            <w:tcW w:w="900" w:type="dxa"/>
          </w:tcPr>
          <w:p w14:paraId="67E8243E"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43.330</w:t>
            </w:r>
          </w:p>
        </w:tc>
        <w:tc>
          <w:tcPr>
            <w:tcW w:w="1080" w:type="dxa"/>
          </w:tcPr>
          <w:p w14:paraId="4FC34A58" w14:textId="77777777" w:rsidR="00DD3C24" w:rsidRPr="00D1775E" w:rsidRDefault="00000000">
            <w:pPr>
              <w:pStyle w:val="Compact"/>
              <w:jc w:val="right"/>
              <w:rPr>
                <w:rFonts w:ascii="Arial" w:hAnsi="Arial" w:cs="Arial"/>
                <w:sz w:val="20"/>
                <w:szCs w:val="20"/>
              </w:rPr>
            </w:pPr>
            <w:r w:rsidRPr="00D1775E">
              <w:rPr>
                <w:rFonts w:ascii="Arial" w:hAnsi="Arial" w:cs="Arial"/>
                <w:sz w:val="20"/>
                <w:szCs w:val="20"/>
              </w:rPr>
              <w:t>41.385</w:t>
            </w:r>
          </w:p>
        </w:tc>
        <w:tc>
          <w:tcPr>
            <w:tcW w:w="2896" w:type="dxa"/>
          </w:tcPr>
          <w:p w14:paraId="1207FA6C" w14:textId="77777777" w:rsidR="00DD3C24" w:rsidRPr="00D1775E" w:rsidRDefault="00000000">
            <w:pPr>
              <w:pStyle w:val="Compact"/>
              <w:jc w:val="center"/>
              <w:rPr>
                <w:rFonts w:ascii="Arial" w:hAnsi="Arial" w:cs="Arial"/>
                <w:sz w:val="20"/>
                <w:szCs w:val="20"/>
              </w:rPr>
            </w:pPr>
            <w:r w:rsidRPr="00D1775E">
              <w:rPr>
                <w:rFonts w:ascii="Arial" w:hAnsi="Arial" w:cs="Arial"/>
                <w:sz w:val="20"/>
                <w:szCs w:val="20"/>
              </w:rPr>
              <w:t>Chl = 43.3 × NDCI + 41.4</w:t>
            </w:r>
          </w:p>
        </w:tc>
      </w:tr>
    </w:tbl>
    <w:p w14:paraId="51382E14" w14:textId="77777777" w:rsidR="00DD3C24" w:rsidRPr="00EF5C2F" w:rsidRDefault="00000000">
      <w:pPr>
        <w:pStyle w:val="BodyText"/>
        <w:rPr>
          <w:rFonts w:ascii="Arial" w:hAnsi="Arial" w:cs="Arial"/>
        </w:rPr>
      </w:pPr>
      <w:r w:rsidRPr="00EF5C2F">
        <w:rPr>
          <w:rFonts w:ascii="Arial" w:hAnsi="Arial" w:cs="Arial"/>
        </w:rPr>
        <w:t>RMSE units are log</w:t>
      </w:r>
      <w:r w:rsidRPr="00EF5C2F">
        <w:rPr>
          <w:rFonts w:ascii="Cambria Math" w:hAnsi="Cambria Math" w:cs="Cambria Math"/>
        </w:rPr>
        <w:t>₁₀</w:t>
      </w:r>
      <w:r w:rsidRPr="00EF5C2F">
        <w:rPr>
          <w:rFonts w:ascii="Arial" w:hAnsi="Arial" w:cs="Arial"/>
        </w:rPr>
        <w:t>(</w:t>
      </w:r>
      <w:proofErr w:type="spellStart"/>
      <w:r w:rsidRPr="00EF5C2F">
        <w:rPr>
          <w:rFonts w:ascii="Arial" w:hAnsi="Arial" w:cs="Arial"/>
        </w:rPr>
        <w:t>μg</w:t>
      </w:r>
      <w:proofErr w:type="spellEnd"/>
      <w:r w:rsidRPr="00EF5C2F">
        <w:rPr>
          <w:rFonts w:ascii="Arial" w:hAnsi="Arial" w:cs="Arial"/>
        </w:rPr>
        <w:t xml:space="preserve">/L) for MODIS sensors and μg/L for Sentinel-2. All calibrations used robust Huber regression with synthetic in situ chlorophyll data from Upper Klamath Lake (2015-2024). </w:t>
      </w:r>
      <w:r w:rsidRPr="00D1775E">
        <w:rPr>
          <w:rFonts w:ascii="Arial" w:hAnsi="Arial" w:cs="Arial"/>
          <w:highlight w:val="yellow"/>
        </w:rPr>
        <w:t>Calibration performance is poor, indicating need for algorithm refinement</w:t>
      </w:r>
      <w:r w:rsidRPr="00EF5C2F">
        <w:rPr>
          <w:rFonts w:ascii="Arial" w:hAnsi="Arial" w:cs="Arial"/>
        </w:rPr>
        <w:t>. The calibration results revealed significant challenges in relating satellite indices to chlorophyll concentrations. MODIS sensors achieved low but positive R² values (0.068-0.083), while Sentinel-2 NDCI showed negative correlation (R² = -0.040) with in situ measurements. The poor performance indicates fundamental limitations in the current algorithm approach and suggests the need for alternative spectral indices, improved atmospheric correction, or more sophisticated machine learning approaches.</w:t>
      </w:r>
    </w:p>
    <w:p w14:paraId="734CA62E" w14:textId="77777777" w:rsidR="00DD3C24" w:rsidRPr="00EF5C2F" w:rsidRDefault="00000000">
      <w:pPr>
        <w:pStyle w:val="Heading3"/>
        <w:rPr>
          <w:rFonts w:ascii="Arial" w:hAnsi="Arial" w:cs="Arial"/>
        </w:rPr>
      </w:pPr>
      <w:bookmarkStart w:id="21" w:name="temporal-data-availability-and-coverage"/>
      <w:bookmarkEnd w:id="20"/>
      <w:r w:rsidRPr="00EF5C2F">
        <w:rPr>
          <w:rFonts w:ascii="Arial" w:hAnsi="Arial" w:cs="Arial"/>
        </w:rPr>
        <w:t>3.2 Temporal Data Availability and Coverage</w:t>
      </w:r>
    </w:p>
    <w:p w14:paraId="5E9028A6" w14:textId="77777777" w:rsidR="00DD3C24" w:rsidRPr="00EF5C2F" w:rsidRDefault="00000000">
      <w:pPr>
        <w:pStyle w:val="FirstParagraph"/>
        <w:rPr>
          <w:rFonts w:ascii="Arial" w:hAnsi="Arial" w:cs="Arial"/>
        </w:rPr>
      </w:pPr>
      <w:r w:rsidRPr="00EF5C2F">
        <w:rPr>
          <w:rFonts w:ascii="Arial" w:hAnsi="Arial" w:cs="Arial"/>
        </w:rPr>
        <w:t>Table 2 presents the temporal coverage and data availability for each sensor after quality control and calibration filtering.</w:t>
      </w:r>
    </w:p>
    <w:p w14:paraId="5B743E65" w14:textId="77777777" w:rsidR="00DD3C24" w:rsidRPr="00D1775E" w:rsidRDefault="00000000">
      <w:pPr>
        <w:pStyle w:val="BodyText"/>
        <w:rPr>
          <w:rFonts w:ascii="Arial" w:hAnsi="Arial" w:cs="Arial"/>
          <w:sz w:val="20"/>
          <w:szCs w:val="20"/>
        </w:rPr>
      </w:pPr>
      <w:r w:rsidRPr="00EF5C2F">
        <w:rPr>
          <w:rFonts w:ascii="Arial" w:hAnsi="Arial" w:cs="Arial"/>
          <w:b/>
          <w:bCs/>
        </w:rPr>
        <w:t xml:space="preserve">Table 2. Satellite data availability and temporal coverage after calibration and </w:t>
      </w:r>
      <w:r w:rsidRPr="00D1775E">
        <w:rPr>
          <w:rFonts w:ascii="Arial" w:hAnsi="Arial" w:cs="Arial"/>
          <w:b/>
          <w:bCs/>
          <w:sz w:val="20"/>
          <w:szCs w:val="20"/>
        </w:rPr>
        <w:t>quality control.</w:t>
      </w:r>
    </w:p>
    <w:tbl>
      <w:tblPr>
        <w:tblStyle w:val="Table"/>
        <w:tblW w:w="5000" w:type="pct"/>
        <w:tblLook w:val="0020" w:firstRow="1" w:lastRow="0" w:firstColumn="0" w:lastColumn="0" w:noHBand="0" w:noVBand="0"/>
      </w:tblPr>
      <w:tblGrid>
        <w:gridCol w:w="1370"/>
        <w:gridCol w:w="1513"/>
        <w:gridCol w:w="1630"/>
        <w:gridCol w:w="1772"/>
        <w:gridCol w:w="1381"/>
        <w:gridCol w:w="1910"/>
      </w:tblGrid>
      <w:tr w:rsidR="00DD3C24" w:rsidRPr="00EF5C2F" w14:paraId="4FC43BB8" w14:textId="77777777" w:rsidTr="00D1775E">
        <w:trPr>
          <w:cnfStyle w:val="100000000000" w:firstRow="1" w:lastRow="0" w:firstColumn="0" w:lastColumn="0" w:oddVBand="0" w:evenVBand="0" w:oddHBand="0" w:evenHBand="0" w:firstRowFirstColumn="0" w:firstRowLastColumn="0" w:lastRowFirstColumn="0" w:lastRowLastColumn="0"/>
        </w:trPr>
        <w:tc>
          <w:tcPr>
            <w:tcW w:w="0" w:type="auto"/>
          </w:tcPr>
          <w:p w14:paraId="158A9D95" w14:textId="77777777" w:rsidR="00DD3C24" w:rsidRPr="00EF5C2F" w:rsidRDefault="00000000">
            <w:pPr>
              <w:pStyle w:val="Compact"/>
              <w:rPr>
                <w:rFonts w:ascii="Arial" w:hAnsi="Arial" w:cs="Arial"/>
              </w:rPr>
            </w:pPr>
            <w:r w:rsidRPr="00EF5C2F">
              <w:rPr>
                <w:rFonts w:ascii="Arial" w:hAnsi="Arial" w:cs="Arial"/>
              </w:rPr>
              <w:t>Sensor</w:t>
            </w:r>
          </w:p>
        </w:tc>
        <w:tc>
          <w:tcPr>
            <w:tcW w:w="794" w:type="pct"/>
          </w:tcPr>
          <w:p w14:paraId="01CC1E65" w14:textId="77777777" w:rsidR="00DD3C24" w:rsidRPr="00EF5C2F" w:rsidRDefault="00000000">
            <w:pPr>
              <w:pStyle w:val="Compact"/>
              <w:jc w:val="center"/>
              <w:rPr>
                <w:rFonts w:ascii="Arial" w:hAnsi="Arial" w:cs="Arial"/>
              </w:rPr>
            </w:pPr>
            <w:r w:rsidRPr="00EF5C2F">
              <w:rPr>
                <w:rFonts w:ascii="Arial" w:hAnsi="Arial" w:cs="Arial"/>
              </w:rPr>
              <w:t>Study Period</w:t>
            </w:r>
          </w:p>
        </w:tc>
        <w:tc>
          <w:tcPr>
            <w:tcW w:w="831" w:type="pct"/>
          </w:tcPr>
          <w:p w14:paraId="0EB6C430" w14:textId="77777777" w:rsidR="00DD3C24" w:rsidRPr="00EF5C2F" w:rsidRDefault="00000000">
            <w:pPr>
              <w:pStyle w:val="Compact"/>
              <w:jc w:val="right"/>
              <w:rPr>
                <w:rFonts w:ascii="Arial" w:hAnsi="Arial" w:cs="Arial"/>
              </w:rPr>
            </w:pPr>
            <w:r w:rsidRPr="00EF5C2F">
              <w:rPr>
                <w:rFonts w:ascii="Arial" w:hAnsi="Arial" w:cs="Arial"/>
              </w:rPr>
              <w:t>Total Observations</w:t>
            </w:r>
          </w:p>
        </w:tc>
        <w:tc>
          <w:tcPr>
            <w:tcW w:w="0" w:type="auto"/>
          </w:tcPr>
          <w:p w14:paraId="14912176" w14:textId="77777777" w:rsidR="00DD3C24" w:rsidRPr="00EF5C2F" w:rsidRDefault="00000000">
            <w:pPr>
              <w:pStyle w:val="Compact"/>
              <w:jc w:val="right"/>
              <w:rPr>
                <w:rFonts w:ascii="Arial" w:hAnsi="Arial" w:cs="Arial"/>
              </w:rPr>
            </w:pPr>
            <w:r w:rsidRPr="00EF5C2F">
              <w:rPr>
                <w:rFonts w:ascii="Arial" w:hAnsi="Arial" w:cs="Arial"/>
              </w:rPr>
              <w:t>Detroit Lake Valid Points</w:t>
            </w:r>
          </w:p>
        </w:tc>
        <w:tc>
          <w:tcPr>
            <w:tcW w:w="0" w:type="auto"/>
          </w:tcPr>
          <w:p w14:paraId="1EBD62F1" w14:textId="77777777" w:rsidR="00DD3C24" w:rsidRPr="00EF5C2F" w:rsidRDefault="00000000">
            <w:pPr>
              <w:pStyle w:val="Compact"/>
              <w:jc w:val="right"/>
              <w:rPr>
                <w:rFonts w:ascii="Arial" w:hAnsi="Arial" w:cs="Arial"/>
              </w:rPr>
            </w:pPr>
            <w:r w:rsidRPr="00EF5C2F">
              <w:rPr>
                <w:rFonts w:ascii="Arial" w:hAnsi="Arial" w:cs="Arial"/>
              </w:rPr>
              <w:t>UKL Valid Points</w:t>
            </w:r>
          </w:p>
        </w:tc>
        <w:tc>
          <w:tcPr>
            <w:tcW w:w="0" w:type="auto"/>
          </w:tcPr>
          <w:p w14:paraId="62897E6E" w14:textId="77777777" w:rsidR="00DD3C24" w:rsidRPr="00EF5C2F" w:rsidRDefault="00000000">
            <w:pPr>
              <w:pStyle w:val="Compact"/>
              <w:jc w:val="right"/>
              <w:rPr>
                <w:rFonts w:ascii="Arial" w:hAnsi="Arial" w:cs="Arial"/>
              </w:rPr>
            </w:pPr>
            <w:r w:rsidRPr="00EF5C2F">
              <w:rPr>
                <w:rFonts w:ascii="Arial" w:hAnsi="Arial" w:cs="Arial"/>
              </w:rPr>
              <w:t>Mean Annual Coverage</w:t>
            </w:r>
          </w:p>
        </w:tc>
      </w:tr>
      <w:tr w:rsidR="00DD3C24" w:rsidRPr="00EF5C2F" w14:paraId="0D307978" w14:textId="77777777" w:rsidTr="00D1775E">
        <w:tc>
          <w:tcPr>
            <w:tcW w:w="0" w:type="auto"/>
          </w:tcPr>
          <w:p w14:paraId="3633E20D" w14:textId="77777777" w:rsidR="00DD3C24" w:rsidRPr="00EF5C2F" w:rsidRDefault="00000000">
            <w:pPr>
              <w:pStyle w:val="Compact"/>
              <w:rPr>
                <w:rFonts w:ascii="Arial" w:hAnsi="Arial" w:cs="Arial"/>
              </w:rPr>
            </w:pPr>
            <w:r w:rsidRPr="00EF5C2F">
              <w:rPr>
                <w:rFonts w:ascii="Arial" w:hAnsi="Arial" w:cs="Arial"/>
              </w:rPr>
              <w:t>MODIS Terra</w:t>
            </w:r>
          </w:p>
        </w:tc>
        <w:tc>
          <w:tcPr>
            <w:tcW w:w="794" w:type="pct"/>
          </w:tcPr>
          <w:p w14:paraId="7F73EF40" w14:textId="77777777" w:rsidR="00DD3C24" w:rsidRPr="00EF5C2F" w:rsidRDefault="00000000">
            <w:pPr>
              <w:pStyle w:val="Compact"/>
              <w:jc w:val="center"/>
              <w:rPr>
                <w:rFonts w:ascii="Arial" w:hAnsi="Arial" w:cs="Arial"/>
              </w:rPr>
            </w:pPr>
            <w:r w:rsidRPr="00EF5C2F">
              <w:rPr>
                <w:rFonts w:ascii="Arial" w:hAnsi="Arial" w:cs="Arial"/>
              </w:rPr>
              <w:t>2011-2025</w:t>
            </w:r>
          </w:p>
        </w:tc>
        <w:tc>
          <w:tcPr>
            <w:tcW w:w="831" w:type="pct"/>
          </w:tcPr>
          <w:p w14:paraId="1DAE64FC" w14:textId="77777777" w:rsidR="00DD3C24" w:rsidRPr="00EF5C2F" w:rsidRDefault="00000000">
            <w:pPr>
              <w:pStyle w:val="Compact"/>
              <w:jc w:val="right"/>
              <w:rPr>
                <w:rFonts w:ascii="Arial" w:hAnsi="Arial" w:cs="Arial"/>
              </w:rPr>
            </w:pPr>
            <w:r w:rsidRPr="00EF5C2F">
              <w:rPr>
                <w:rFonts w:ascii="Arial" w:hAnsi="Arial" w:cs="Arial"/>
              </w:rPr>
              <w:t>4,424</w:t>
            </w:r>
          </w:p>
        </w:tc>
        <w:tc>
          <w:tcPr>
            <w:tcW w:w="0" w:type="auto"/>
          </w:tcPr>
          <w:p w14:paraId="4664DF41" w14:textId="77777777" w:rsidR="00DD3C24" w:rsidRPr="00EF5C2F" w:rsidRDefault="00000000">
            <w:pPr>
              <w:pStyle w:val="Compact"/>
              <w:jc w:val="right"/>
              <w:rPr>
                <w:rFonts w:ascii="Arial" w:hAnsi="Arial" w:cs="Arial"/>
              </w:rPr>
            </w:pPr>
            <w:r w:rsidRPr="00EF5C2F">
              <w:rPr>
                <w:rFonts w:ascii="Arial" w:hAnsi="Arial" w:cs="Arial"/>
              </w:rPr>
              <w:t>1,847</w:t>
            </w:r>
          </w:p>
        </w:tc>
        <w:tc>
          <w:tcPr>
            <w:tcW w:w="0" w:type="auto"/>
          </w:tcPr>
          <w:p w14:paraId="26D593EF" w14:textId="77777777" w:rsidR="00DD3C24" w:rsidRPr="00EF5C2F" w:rsidRDefault="00000000">
            <w:pPr>
              <w:pStyle w:val="Compact"/>
              <w:jc w:val="right"/>
              <w:rPr>
                <w:rFonts w:ascii="Arial" w:hAnsi="Arial" w:cs="Arial"/>
              </w:rPr>
            </w:pPr>
            <w:r w:rsidRPr="00EF5C2F">
              <w:rPr>
                <w:rFonts w:ascii="Arial" w:hAnsi="Arial" w:cs="Arial"/>
              </w:rPr>
              <w:t>2,065</w:t>
            </w:r>
          </w:p>
        </w:tc>
        <w:tc>
          <w:tcPr>
            <w:tcW w:w="0" w:type="auto"/>
          </w:tcPr>
          <w:p w14:paraId="6A991110" w14:textId="77777777" w:rsidR="00DD3C24" w:rsidRPr="00EF5C2F" w:rsidRDefault="00000000">
            <w:pPr>
              <w:pStyle w:val="Compact"/>
              <w:jc w:val="right"/>
              <w:rPr>
                <w:rFonts w:ascii="Arial" w:hAnsi="Arial" w:cs="Arial"/>
              </w:rPr>
            </w:pPr>
            <w:r w:rsidRPr="00EF5C2F">
              <w:rPr>
                <w:rFonts w:ascii="Arial" w:hAnsi="Arial" w:cs="Arial"/>
              </w:rPr>
              <w:t>89.3%</w:t>
            </w:r>
          </w:p>
        </w:tc>
      </w:tr>
      <w:tr w:rsidR="00DD3C24" w:rsidRPr="00EF5C2F" w14:paraId="1D27EA75" w14:textId="77777777" w:rsidTr="00D1775E">
        <w:tc>
          <w:tcPr>
            <w:tcW w:w="0" w:type="auto"/>
          </w:tcPr>
          <w:p w14:paraId="17B09E3A" w14:textId="77777777" w:rsidR="00DD3C24" w:rsidRPr="00EF5C2F" w:rsidRDefault="00000000">
            <w:pPr>
              <w:pStyle w:val="Compact"/>
              <w:rPr>
                <w:rFonts w:ascii="Arial" w:hAnsi="Arial" w:cs="Arial"/>
              </w:rPr>
            </w:pPr>
            <w:r w:rsidRPr="00EF5C2F">
              <w:rPr>
                <w:rFonts w:ascii="Arial" w:hAnsi="Arial" w:cs="Arial"/>
              </w:rPr>
              <w:t>MODIS Aqua</w:t>
            </w:r>
          </w:p>
        </w:tc>
        <w:tc>
          <w:tcPr>
            <w:tcW w:w="794" w:type="pct"/>
          </w:tcPr>
          <w:p w14:paraId="6DB2E24C" w14:textId="77777777" w:rsidR="00DD3C24" w:rsidRPr="00EF5C2F" w:rsidRDefault="00000000">
            <w:pPr>
              <w:pStyle w:val="Compact"/>
              <w:jc w:val="center"/>
              <w:rPr>
                <w:rFonts w:ascii="Arial" w:hAnsi="Arial" w:cs="Arial"/>
              </w:rPr>
            </w:pPr>
            <w:r w:rsidRPr="00EF5C2F">
              <w:rPr>
                <w:rFonts w:ascii="Arial" w:hAnsi="Arial" w:cs="Arial"/>
              </w:rPr>
              <w:t>2011-2025</w:t>
            </w:r>
          </w:p>
        </w:tc>
        <w:tc>
          <w:tcPr>
            <w:tcW w:w="831" w:type="pct"/>
          </w:tcPr>
          <w:p w14:paraId="02A0658A" w14:textId="77777777" w:rsidR="00DD3C24" w:rsidRPr="00EF5C2F" w:rsidRDefault="00000000">
            <w:pPr>
              <w:pStyle w:val="Compact"/>
              <w:jc w:val="right"/>
              <w:rPr>
                <w:rFonts w:ascii="Arial" w:hAnsi="Arial" w:cs="Arial"/>
              </w:rPr>
            </w:pPr>
            <w:r w:rsidRPr="00EF5C2F">
              <w:rPr>
                <w:rFonts w:ascii="Arial" w:hAnsi="Arial" w:cs="Arial"/>
              </w:rPr>
              <w:t>4,400</w:t>
            </w:r>
          </w:p>
        </w:tc>
        <w:tc>
          <w:tcPr>
            <w:tcW w:w="0" w:type="auto"/>
          </w:tcPr>
          <w:p w14:paraId="5E641036" w14:textId="77777777" w:rsidR="00DD3C24" w:rsidRPr="00EF5C2F" w:rsidRDefault="00000000">
            <w:pPr>
              <w:pStyle w:val="Compact"/>
              <w:jc w:val="right"/>
              <w:rPr>
                <w:rFonts w:ascii="Arial" w:hAnsi="Arial" w:cs="Arial"/>
              </w:rPr>
            </w:pPr>
            <w:r w:rsidRPr="00EF5C2F">
              <w:rPr>
                <w:rFonts w:ascii="Arial" w:hAnsi="Arial" w:cs="Arial"/>
              </w:rPr>
              <w:t>1,923</w:t>
            </w:r>
          </w:p>
        </w:tc>
        <w:tc>
          <w:tcPr>
            <w:tcW w:w="0" w:type="auto"/>
          </w:tcPr>
          <w:p w14:paraId="3FCEC07C" w14:textId="77777777" w:rsidR="00DD3C24" w:rsidRPr="00EF5C2F" w:rsidRDefault="00000000">
            <w:pPr>
              <w:pStyle w:val="Compact"/>
              <w:jc w:val="right"/>
              <w:rPr>
                <w:rFonts w:ascii="Arial" w:hAnsi="Arial" w:cs="Arial"/>
              </w:rPr>
            </w:pPr>
            <w:r w:rsidRPr="00EF5C2F">
              <w:rPr>
                <w:rFonts w:ascii="Arial" w:hAnsi="Arial" w:cs="Arial"/>
              </w:rPr>
              <w:t>1,998</w:t>
            </w:r>
          </w:p>
        </w:tc>
        <w:tc>
          <w:tcPr>
            <w:tcW w:w="0" w:type="auto"/>
          </w:tcPr>
          <w:p w14:paraId="79BB2FDB" w14:textId="77777777" w:rsidR="00DD3C24" w:rsidRPr="00EF5C2F" w:rsidRDefault="00000000">
            <w:pPr>
              <w:pStyle w:val="Compact"/>
              <w:jc w:val="right"/>
              <w:rPr>
                <w:rFonts w:ascii="Arial" w:hAnsi="Arial" w:cs="Arial"/>
              </w:rPr>
            </w:pPr>
            <w:r w:rsidRPr="00EF5C2F">
              <w:rPr>
                <w:rFonts w:ascii="Arial" w:hAnsi="Arial" w:cs="Arial"/>
              </w:rPr>
              <w:t>91.2%</w:t>
            </w:r>
          </w:p>
        </w:tc>
      </w:tr>
      <w:tr w:rsidR="00DD3C24" w:rsidRPr="00EF5C2F" w14:paraId="6E0A34B6" w14:textId="77777777" w:rsidTr="00D1775E">
        <w:tc>
          <w:tcPr>
            <w:tcW w:w="0" w:type="auto"/>
          </w:tcPr>
          <w:p w14:paraId="1F5A54C3" w14:textId="77777777" w:rsidR="00DD3C24" w:rsidRPr="00EF5C2F" w:rsidRDefault="00000000">
            <w:pPr>
              <w:pStyle w:val="Compact"/>
              <w:rPr>
                <w:rFonts w:ascii="Arial" w:hAnsi="Arial" w:cs="Arial"/>
              </w:rPr>
            </w:pPr>
            <w:r w:rsidRPr="00EF5C2F">
              <w:rPr>
                <w:rFonts w:ascii="Arial" w:hAnsi="Arial" w:cs="Arial"/>
              </w:rPr>
              <w:t>Sentinel-2</w:t>
            </w:r>
          </w:p>
        </w:tc>
        <w:tc>
          <w:tcPr>
            <w:tcW w:w="794" w:type="pct"/>
          </w:tcPr>
          <w:p w14:paraId="6772708A" w14:textId="77777777" w:rsidR="00DD3C24" w:rsidRPr="00EF5C2F" w:rsidRDefault="00000000">
            <w:pPr>
              <w:pStyle w:val="Compact"/>
              <w:jc w:val="center"/>
              <w:rPr>
                <w:rFonts w:ascii="Arial" w:hAnsi="Arial" w:cs="Arial"/>
              </w:rPr>
            </w:pPr>
            <w:r w:rsidRPr="00EF5C2F">
              <w:rPr>
                <w:rFonts w:ascii="Arial" w:hAnsi="Arial" w:cs="Arial"/>
              </w:rPr>
              <w:t>2015-2025</w:t>
            </w:r>
          </w:p>
        </w:tc>
        <w:tc>
          <w:tcPr>
            <w:tcW w:w="831" w:type="pct"/>
          </w:tcPr>
          <w:p w14:paraId="2C5444B6" w14:textId="77777777" w:rsidR="00DD3C24" w:rsidRPr="00EF5C2F" w:rsidRDefault="00000000">
            <w:pPr>
              <w:pStyle w:val="Compact"/>
              <w:jc w:val="right"/>
              <w:rPr>
                <w:rFonts w:ascii="Arial" w:hAnsi="Arial" w:cs="Arial"/>
              </w:rPr>
            </w:pPr>
            <w:r w:rsidRPr="00EF5C2F">
              <w:rPr>
                <w:rFonts w:ascii="Arial" w:hAnsi="Arial" w:cs="Arial"/>
              </w:rPr>
              <w:t>1,537</w:t>
            </w:r>
          </w:p>
        </w:tc>
        <w:tc>
          <w:tcPr>
            <w:tcW w:w="0" w:type="auto"/>
          </w:tcPr>
          <w:p w14:paraId="37DCC725" w14:textId="77777777" w:rsidR="00DD3C24" w:rsidRPr="00EF5C2F" w:rsidRDefault="00000000">
            <w:pPr>
              <w:pStyle w:val="Compact"/>
              <w:jc w:val="right"/>
              <w:rPr>
                <w:rFonts w:ascii="Arial" w:hAnsi="Arial" w:cs="Arial"/>
              </w:rPr>
            </w:pPr>
            <w:r w:rsidRPr="00EF5C2F">
              <w:rPr>
                <w:rFonts w:ascii="Arial" w:hAnsi="Arial" w:cs="Arial"/>
              </w:rPr>
              <w:t>234</w:t>
            </w:r>
          </w:p>
        </w:tc>
        <w:tc>
          <w:tcPr>
            <w:tcW w:w="0" w:type="auto"/>
          </w:tcPr>
          <w:p w14:paraId="2BD0A5CB" w14:textId="77777777" w:rsidR="00DD3C24" w:rsidRPr="00EF5C2F" w:rsidRDefault="00000000">
            <w:pPr>
              <w:pStyle w:val="Compact"/>
              <w:jc w:val="right"/>
              <w:rPr>
                <w:rFonts w:ascii="Arial" w:hAnsi="Arial" w:cs="Arial"/>
              </w:rPr>
            </w:pPr>
            <w:r w:rsidRPr="00EF5C2F">
              <w:rPr>
                <w:rFonts w:ascii="Arial" w:hAnsi="Arial" w:cs="Arial"/>
              </w:rPr>
              <w:t>267</w:t>
            </w:r>
          </w:p>
        </w:tc>
        <w:tc>
          <w:tcPr>
            <w:tcW w:w="0" w:type="auto"/>
          </w:tcPr>
          <w:p w14:paraId="7E751DEE" w14:textId="77777777" w:rsidR="00DD3C24" w:rsidRPr="00EF5C2F" w:rsidRDefault="00000000">
            <w:pPr>
              <w:pStyle w:val="Compact"/>
              <w:jc w:val="right"/>
              <w:rPr>
                <w:rFonts w:ascii="Arial" w:hAnsi="Arial" w:cs="Arial"/>
              </w:rPr>
            </w:pPr>
            <w:r w:rsidRPr="00EF5C2F">
              <w:rPr>
                <w:rFonts w:ascii="Arial" w:hAnsi="Arial" w:cs="Arial"/>
              </w:rPr>
              <w:t>76.8%</w:t>
            </w:r>
          </w:p>
        </w:tc>
      </w:tr>
    </w:tbl>
    <w:p w14:paraId="189510B2" w14:textId="77777777" w:rsidR="00DD3C24" w:rsidRPr="00EF5C2F" w:rsidRDefault="00000000">
      <w:pPr>
        <w:pStyle w:val="BodyText"/>
        <w:rPr>
          <w:rFonts w:ascii="Arial" w:hAnsi="Arial" w:cs="Arial"/>
        </w:rPr>
      </w:pPr>
      <w:r w:rsidRPr="00EF5C2F">
        <w:rPr>
          <w:rFonts w:ascii="Arial" w:hAnsi="Arial" w:cs="Arial"/>
        </w:rPr>
        <w:t>Valid points represent observations passing all quality control filters including atmospheric conditions, water masking, and post-calibration chlorophyll range filtering (0-400 μg/L). Mean annual coverage represents the percentage of cloud-free acquisition opportunities yielding valid data. MODIS sensors provided the most comprehensive temporal coverage with over 14 years of data and &gt;85% annual coverage. Sentinel-2 offered the highest spatial resolution (10-20 m) but lower temporal coverage due to the shorter mission duration and more restrictive quality control requirements.</w:t>
      </w:r>
    </w:p>
    <w:p w14:paraId="29AE49C4" w14:textId="77777777" w:rsidR="00DD3C24" w:rsidRPr="00EF5C2F" w:rsidRDefault="00000000">
      <w:pPr>
        <w:pStyle w:val="Heading3"/>
        <w:rPr>
          <w:rFonts w:ascii="Arial" w:hAnsi="Arial" w:cs="Arial"/>
        </w:rPr>
      </w:pPr>
      <w:bookmarkStart w:id="22" w:name="X8c732e59820f0db0f6ee286759d9bae874805c4"/>
      <w:bookmarkEnd w:id="21"/>
      <w:r w:rsidRPr="00EF5C2F">
        <w:rPr>
          <w:rFonts w:ascii="Arial" w:hAnsi="Arial" w:cs="Arial"/>
        </w:rPr>
        <w:t>3.3 Calibrated Chlorophyll Dynamics and Sensor Intercomparison</w:t>
      </w:r>
    </w:p>
    <w:p w14:paraId="1E50BA86" w14:textId="77777777" w:rsidR="00DD3C24" w:rsidRPr="00EF5C2F" w:rsidRDefault="00000000">
      <w:pPr>
        <w:pStyle w:val="FirstParagraph"/>
        <w:rPr>
          <w:rFonts w:ascii="Arial" w:hAnsi="Arial" w:cs="Arial"/>
        </w:rPr>
      </w:pPr>
      <w:r w:rsidRPr="00EF5C2F">
        <w:rPr>
          <w:rFonts w:ascii="Arial" w:hAnsi="Arial" w:cs="Arial"/>
        </w:rPr>
        <w:t xml:space="preserve">Figure 1 demonstrates the general agreement between satellite estimates and in situ measurements following the calibration process, despite the low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sidRPr="00EF5C2F">
        <w:rPr>
          <w:rFonts w:ascii="Arial" w:hAnsi="Arial" w:cs="Arial"/>
        </w:rPr>
        <w:t xml:space="preserve"> values.</w:t>
      </w:r>
    </w:p>
    <w:p w14:paraId="0A659BD4" w14:textId="1382CDF9" w:rsidR="00D1775E" w:rsidRDefault="00D1775E">
      <w:pPr>
        <w:pStyle w:val="BodyText"/>
        <w:rPr>
          <w:rFonts w:ascii="Arial" w:hAnsi="Arial" w:cs="Arial"/>
        </w:rPr>
      </w:pPr>
      <w:r>
        <w:rPr>
          <w:rFonts w:ascii="Arial" w:hAnsi="Arial" w:cs="Arial"/>
          <w:noProof/>
        </w:rPr>
        <w:lastRenderedPageBreak/>
        <w:drawing>
          <wp:inline distT="0" distB="0" distL="0" distR="0" wp14:anchorId="1C247C30" wp14:editId="1C22ABCC">
            <wp:extent cx="5943600" cy="3378835"/>
            <wp:effectExtent l="0" t="0" r="0" b="0"/>
            <wp:docPr id="1181148825" name="Picture 1" descr="A graph of 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48825" name="Picture 1" descr="A graph of a graph showing a number of dat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p w14:paraId="1A1063C0" w14:textId="4CD45FA2" w:rsidR="00DD3C24" w:rsidRPr="00D1775E" w:rsidRDefault="00000000">
      <w:pPr>
        <w:pStyle w:val="BodyText"/>
        <w:rPr>
          <w:rFonts w:ascii="Arial" w:hAnsi="Arial" w:cs="Arial"/>
          <w:sz w:val="20"/>
          <w:szCs w:val="20"/>
        </w:rPr>
      </w:pPr>
      <w:r w:rsidRPr="00D1775E">
        <w:rPr>
          <w:rFonts w:ascii="Arial" w:hAnsi="Arial" w:cs="Arial"/>
          <w:b/>
          <w:bCs/>
          <w:sz w:val="20"/>
          <w:szCs w:val="20"/>
        </w:rPr>
        <w:t xml:space="preserve">Figure 1. Upper Klamath Lake in situ chlorophyll measurements (black line) compared with calibrated satellite estimates from Sentinel-2 (blue points), MODIS Terra (orange points), and MODIS Aqua (green points) for the period 2015-2024. Calibrated estimates show good agreement </w:t>
      </w:r>
      <w:proofErr w:type="gramStart"/>
      <w:r w:rsidRPr="00D1775E">
        <w:rPr>
          <w:rFonts w:ascii="Arial" w:hAnsi="Arial" w:cs="Arial"/>
          <w:b/>
          <w:bCs/>
          <w:sz w:val="20"/>
          <w:szCs w:val="20"/>
        </w:rPr>
        <w:t>with in</w:t>
      </w:r>
      <w:proofErr w:type="gramEnd"/>
      <w:r w:rsidRPr="00D1775E">
        <w:rPr>
          <w:rFonts w:ascii="Arial" w:hAnsi="Arial" w:cs="Arial"/>
          <w:b/>
          <w:bCs/>
          <w:sz w:val="20"/>
          <w:szCs w:val="20"/>
        </w:rPr>
        <w:t xml:space="preserve"> situ seasonal patterns and magnitude.</w:t>
      </w:r>
    </w:p>
    <w:p w14:paraId="01CF71A7" w14:textId="77777777" w:rsidR="00DD3C24" w:rsidRPr="00EF5C2F" w:rsidRDefault="00000000">
      <w:pPr>
        <w:pStyle w:val="BodyText"/>
        <w:rPr>
          <w:rFonts w:ascii="Arial" w:hAnsi="Arial" w:cs="Arial"/>
        </w:rPr>
      </w:pPr>
      <w:r w:rsidRPr="00EF5C2F">
        <w:rPr>
          <w:rFonts w:ascii="Arial" w:hAnsi="Arial" w:cs="Arial"/>
        </w:rPr>
        <w:t xml:space="preserve">The calibrated satellite time series captured the characteristic seasonal chlorophyll dynamics of Upper Klamath Lake, including spring blooms, summer maxima, and autumn declines. MODIS sensors tracked in situ patterns, although only a small number of points indicated the strong peaks that are present in the in situ data. Sentinel-2 showed the same seasonal patterns as visible in the MODIS and in situ data. However, the peak Sentinel values remained below 75 </w:t>
      </w:r>
      <m:oMath>
        <m:r>
          <w:rPr>
            <w:rFonts w:ascii="Cambria Math" w:hAnsi="Cambria Math" w:cs="Arial"/>
          </w:rPr>
          <m:t>μ</m:t>
        </m:r>
        <m:r>
          <m:rPr>
            <m:nor/>
          </m:rPr>
          <w:rPr>
            <w:rFonts w:ascii="Arial" w:hAnsi="Arial" w:cs="Arial"/>
          </w:rPr>
          <m:t>g/L</m:t>
        </m:r>
      </m:oMath>
      <w:r w:rsidRPr="00EF5C2F">
        <w:rPr>
          <w:rFonts w:ascii="Arial" w:hAnsi="Arial" w:cs="Arial"/>
        </w:rPr>
        <w:t>. This indicates a need for further adjustments to the methodology.</w:t>
      </w:r>
    </w:p>
    <w:p w14:paraId="0E47D04A" w14:textId="77777777" w:rsidR="00DD3C24" w:rsidRPr="00EF5C2F" w:rsidRDefault="00000000">
      <w:pPr>
        <w:pStyle w:val="Heading3"/>
        <w:rPr>
          <w:rFonts w:ascii="Arial" w:hAnsi="Arial" w:cs="Arial"/>
        </w:rPr>
      </w:pPr>
      <w:bookmarkStart w:id="23" w:name="application-to-detroit-lake"/>
      <w:bookmarkEnd w:id="22"/>
      <w:r w:rsidRPr="00EF5C2F">
        <w:rPr>
          <w:rFonts w:ascii="Arial" w:hAnsi="Arial" w:cs="Arial"/>
        </w:rPr>
        <w:t>3.4 Application to Detroit Lake</w:t>
      </w:r>
    </w:p>
    <w:p w14:paraId="740E5856" w14:textId="77777777" w:rsidR="00DD3C24" w:rsidRPr="00EF5C2F" w:rsidRDefault="00000000">
      <w:pPr>
        <w:pStyle w:val="FirstParagraph"/>
        <w:rPr>
          <w:rFonts w:ascii="Arial" w:hAnsi="Arial" w:cs="Arial"/>
        </w:rPr>
      </w:pPr>
      <w:r w:rsidRPr="00EF5C2F">
        <w:rPr>
          <w:rFonts w:ascii="Arial" w:hAnsi="Arial" w:cs="Arial"/>
        </w:rPr>
        <w:t>Figure 2 presents the calibrated satellite chlorophyll time series for Detroit Lake. Detroit Lake showed markedly different chlorophyll dynamics compared to the hypereutrophic Upper Klamath Lake, with lower baseline concentrations (10-50 μg/L) and more subdued seasonal variability. Peak concentrations occurred during summer months (June-August) with occasional autumn secondary peaks. The MODIS sensors provided consistent long-term trends, while Sentinel-2 offered higher temporal resolution during its operational period (2015-2025).</w:t>
      </w:r>
    </w:p>
    <w:p w14:paraId="1E43C9EA" w14:textId="514917D3" w:rsidR="00D1775E" w:rsidRDefault="00D1775E">
      <w:pPr>
        <w:pStyle w:val="BodyText"/>
        <w:rPr>
          <w:rFonts w:ascii="Arial" w:hAnsi="Arial" w:cs="Arial"/>
        </w:rPr>
      </w:pPr>
      <w:r>
        <w:rPr>
          <w:rFonts w:ascii="Arial" w:hAnsi="Arial" w:cs="Arial"/>
          <w:noProof/>
        </w:rPr>
        <w:lastRenderedPageBreak/>
        <w:drawing>
          <wp:inline distT="0" distB="0" distL="0" distR="0" wp14:anchorId="7C23E9E4" wp14:editId="26621740">
            <wp:extent cx="5943600" cy="3378835"/>
            <wp:effectExtent l="0" t="0" r="0" b="0"/>
            <wp:docPr id="375949172" name="Picture 2"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49172" name="Picture 2" descr="A graph showing a number of data&#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p w14:paraId="4D5962ED" w14:textId="02F4F20F" w:rsidR="006D7268" w:rsidRPr="006D7268" w:rsidRDefault="00000000">
      <w:pPr>
        <w:pStyle w:val="BodyText"/>
        <w:rPr>
          <w:rFonts w:ascii="Arial" w:hAnsi="Arial" w:cs="Arial"/>
          <w:b/>
          <w:bCs/>
          <w:sz w:val="20"/>
          <w:szCs w:val="20"/>
        </w:rPr>
      </w:pPr>
      <w:r w:rsidRPr="00D1775E">
        <w:rPr>
          <w:rFonts w:ascii="Arial" w:hAnsi="Arial" w:cs="Arial"/>
          <w:b/>
          <w:bCs/>
          <w:sz w:val="20"/>
          <w:szCs w:val="20"/>
        </w:rPr>
        <w:t>Figure 2. Detroit Lake calibrated satellite chlorophyll estimates from Sentinel-2 (blue points), MODIS Terra (orange points), and MODIS Aqua (green points) for the period 2011-2025. Time series exhibit consistent seasonal patterns with spring and summer chlorophyll maxima typical of temperate lake systems.</w:t>
      </w:r>
    </w:p>
    <w:p w14:paraId="2678B85C" w14:textId="77777777" w:rsidR="00DD3C24" w:rsidRPr="006D7268" w:rsidRDefault="00000000" w:rsidP="006D7268">
      <w:pPr>
        <w:pStyle w:val="Heading2"/>
      </w:pPr>
      <w:bookmarkStart w:id="24" w:name="discussion"/>
      <w:bookmarkEnd w:id="19"/>
      <w:bookmarkEnd w:id="23"/>
      <w:r w:rsidRPr="006D7268">
        <w:t>4. Discussion</w:t>
      </w:r>
    </w:p>
    <w:p w14:paraId="01209F07" w14:textId="566A4559" w:rsidR="006D7268" w:rsidRPr="006D7268" w:rsidRDefault="00D1775E" w:rsidP="006D7268">
      <w:pPr>
        <w:pStyle w:val="FirstParagraph"/>
        <w:rPr>
          <w:rFonts w:ascii="Arial" w:hAnsi="Arial" w:cs="Arial"/>
        </w:rPr>
      </w:pPr>
      <w:r>
        <w:rPr>
          <w:rFonts w:ascii="Arial" w:hAnsi="Arial" w:cs="Arial"/>
        </w:rPr>
        <w:t>TBD</w:t>
      </w:r>
    </w:p>
    <w:p w14:paraId="01748F19" w14:textId="77777777" w:rsidR="00DD3C24" w:rsidRPr="006D7268" w:rsidRDefault="00000000" w:rsidP="006D7268">
      <w:pPr>
        <w:pStyle w:val="Heading2"/>
      </w:pPr>
      <w:bookmarkStart w:id="25" w:name="conclusions"/>
      <w:bookmarkEnd w:id="24"/>
      <w:r w:rsidRPr="006D7268">
        <w:t>5. Conclusions</w:t>
      </w:r>
    </w:p>
    <w:p w14:paraId="0F618CF6" w14:textId="1E05A31D" w:rsidR="006D7268" w:rsidRPr="006D7268" w:rsidRDefault="00D1775E" w:rsidP="006D7268">
      <w:pPr>
        <w:pStyle w:val="FirstParagraph"/>
        <w:rPr>
          <w:rFonts w:ascii="Arial" w:hAnsi="Arial" w:cs="Arial"/>
        </w:rPr>
      </w:pPr>
      <w:r>
        <w:rPr>
          <w:rFonts w:ascii="Arial" w:hAnsi="Arial" w:cs="Arial"/>
        </w:rPr>
        <w:t>TBD</w:t>
      </w:r>
    </w:p>
    <w:p w14:paraId="66D725BB" w14:textId="053359B8" w:rsidR="006D7268" w:rsidRPr="006D7268" w:rsidRDefault="00000000" w:rsidP="006D7268">
      <w:pPr>
        <w:pStyle w:val="Heading2"/>
        <w:numPr>
          <w:ilvl w:val="0"/>
          <w:numId w:val="6"/>
        </w:numPr>
      </w:pPr>
      <w:bookmarkStart w:id="26" w:name="references"/>
      <w:bookmarkEnd w:id="25"/>
      <w:r w:rsidRPr="00EF5C2F">
        <w:t>References</w:t>
      </w:r>
    </w:p>
    <w:p w14:paraId="68629636" w14:textId="77777777" w:rsidR="00DD3C24" w:rsidRPr="00EF5C2F" w:rsidRDefault="00000000">
      <w:pPr>
        <w:pStyle w:val="Bibliography"/>
        <w:rPr>
          <w:rFonts w:ascii="Arial" w:hAnsi="Arial" w:cs="Arial"/>
        </w:rPr>
      </w:pPr>
      <w:bookmarkStart w:id="27" w:name="X2ac31569dc426405b879fb5142fd06ddf48719a"/>
      <w:bookmarkStart w:id="28" w:name="refs"/>
      <w:r w:rsidRPr="00EF5C2F">
        <w:rPr>
          <w:rFonts w:ascii="Arial" w:hAnsi="Arial" w:cs="Arial"/>
        </w:rPr>
        <w:t xml:space="preserve">Beck, Richard, Shengan Zhan, Hongxing Liu, Susanna Tong, Bo Yang, Min Xu, Zhaoxia Ye, et al. 2016. “Comparison of Satellite Reflectance Algorithms for Estimating Chlorophyll-a in a Temperate Reservoir Using Coincident Hyperspectral Aircraft Imagery and Dense Coincident Surface Observations.” </w:t>
      </w:r>
      <w:r w:rsidRPr="00EF5C2F">
        <w:rPr>
          <w:rFonts w:ascii="Arial" w:hAnsi="Arial" w:cs="Arial"/>
          <w:i/>
          <w:iCs/>
        </w:rPr>
        <w:t>Remote Sensing of Environment</w:t>
      </w:r>
      <w:r w:rsidRPr="00EF5C2F">
        <w:rPr>
          <w:rFonts w:ascii="Arial" w:hAnsi="Arial" w:cs="Arial"/>
        </w:rPr>
        <w:t xml:space="preserve"> 178 (June): 15–30. </w:t>
      </w:r>
      <w:hyperlink r:id="rId9">
        <w:r w:rsidRPr="00EF5C2F">
          <w:rPr>
            <w:rStyle w:val="Hyperlink"/>
            <w:rFonts w:ascii="Arial" w:hAnsi="Arial" w:cs="Arial"/>
          </w:rPr>
          <w:t>https://doi.org/10.1016/j.rse.2016.03.002</w:t>
        </w:r>
      </w:hyperlink>
      <w:r w:rsidRPr="00EF5C2F">
        <w:rPr>
          <w:rFonts w:ascii="Arial" w:hAnsi="Arial" w:cs="Arial"/>
        </w:rPr>
        <w:t>.</w:t>
      </w:r>
    </w:p>
    <w:p w14:paraId="29298051" w14:textId="77777777" w:rsidR="00DD3C24" w:rsidRPr="00EF5C2F" w:rsidRDefault="00000000">
      <w:pPr>
        <w:pStyle w:val="Bibliography"/>
        <w:rPr>
          <w:rFonts w:ascii="Arial" w:hAnsi="Arial" w:cs="Arial"/>
        </w:rPr>
      </w:pPr>
      <w:bookmarkStart w:id="29" w:name="ref-brooksAreHarmfulAlgal2016"/>
      <w:bookmarkEnd w:id="27"/>
      <w:r w:rsidRPr="00EF5C2F">
        <w:rPr>
          <w:rFonts w:ascii="Arial" w:hAnsi="Arial" w:cs="Arial"/>
        </w:rPr>
        <w:t xml:space="preserve">Brooks, Bryan W., James M. Lazorchak, Meredith D. A. Howard, Mari-Vaughn V. Johnson, Steve L. Morton, Dawn A. K. Perkins, Euan D. Reavie, Geoffrey I. Scott, Stephanie A. Smith, and Jeffery A. Steevens. 2016. “Are Harmful Algal Blooms Becoming the Greatest Inland Water Quality Threat to Public Health and Aquatic Ecosystems?” </w:t>
      </w:r>
      <w:r w:rsidRPr="00EF5C2F">
        <w:rPr>
          <w:rFonts w:ascii="Arial" w:hAnsi="Arial" w:cs="Arial"/>
          <w:i/>
          <w:iCs/>
        </w:rPr>
        <w:t>Environmental Toxicology and Chemistry</w:t>
      </w:r>
      <w:r w:rsidRPr="00EF5C2F">
        <w:rPr>
          <w:rFonts w:ascii="Arial" w:hAnsi="Arial" w:cs="Arial"/>
        </w:rPr>
        <w:t xml:space="preserve"> 35 (1): 6–13. </w:t>
      </w:r>
      <w:hyperlink r:id="rId10">
        <w:r w:rsidRPr="00EF5C2F">
          <w:rPr>
            <w:rStyle w:val="Hyperlink"/>
            <w:rFonts w:ascii="Arial" w:hAnsi="Arial" w:cs="Arial"/>
          </w:rPr>
          <w:t>https://doi.org/10.1002/etc.3220</w:t>
        </w:r>
      </w:hyperlink>
      <w:r w:rsidRPr="00EF5C2F">
        <w:rPr>
          <w:rFonts w:ascii="Arial" w:hAnsi="Arial" w:cs="Arial"/>
        </w:rPr>
        <w:t>.</w:t>
      </w:r>
    </w:p>
    <w:p w14:paraId="382C7014" w14:textId="6B5CF80F" w:rsidR="00DD3C24" w:rsidRPr="00EF5C2F" w:rsidRDefault="00000000">
      <w:pPr>
        <w:pStyle w:val="Bibliography"/>
        <w:rPr>
          <w:rFonts w:ascii="Arial" w:hAnsi="Arial" w:cs="Arial"/>
        </w:rPr>
      </w:pPr>
      <w:bookmarkStart w:id="30" w:name="X0cf28be7f866ebc76363213177df396d56b7625"/>
      <w:bookmarkEnd w:id="29"/>
      <w:r w:rsidRPr="00EF5C2F">
        <w:rPr>
          <w:rFonts w:ascii="Arial" w:hAnsi="Arial" w:cs="Arial"/>
        </w:rPr>
        <w:lastRenderedPageBreak/>
        <w:t xml:space="preserve">Caldwell Eldridge, Sara L., Tamara M. Wood, and Kathy R. Echols. 2012. “Spatial and Temporal Dynamics of Cyanotoxins and Their Relation to Other Water Quality Variables in Upper Klamath Lake, Oregon, 2007–09.” Scientific Investigations Report 2012–5069. U. S. Geological Survey. </w:t>
      </w:r>
      <w:hyperlink r:id="rId11">
        <w:r w:rsidRPr="00EF5C2F">
          <w:rPr>
            <w:rStyle w:val="Hyperlink"/>
            <w:rFonts w:ascii="Arial" w:hAnsi="Arial" w:cs="Arial"/>
          </w:rPr>
          <w:t>https://doi.org/10.3133/sir20125069</w:t>
        </w:r>
      </w:hyperlink>
      <w:r w:rsidRPr="00EF5C2F">
        <w:rPr>
          <w:rFonts w:ascii="Arial" w:hAnsi="Arial" w:cs="Arial"/>
        </w:rPr>
        <w:t>.</w:t>
      </w:r>
    </w:p>
    <w:p w14:paraId="1BD48224" w14:textId="77777777" w:rsidR="00DD3C24" w:rsidRPr="00EF5C2F" w:rsidRDefault="00000000">
      <w:pPr>
        <w:pStyle w:val="Bibliography"/>
        <w:rPr>
          <w:rFonts w:ascii="Arial" w:hAnsi="Arial" w:cs="Arial"/>
        </w:rPr>
      </w:pPr>
      <w:bookmarkStart w:id="31" w:name="X5500a511a8e0378eae3a55dca96896c2060a37d"/>
      <w:bookmarkEnd w:id="30"/>
      <w:r w:rsidRPr="00EF5C2F">
        <w:rPr>
          <w:rFonts w:ascii="Arial" w:hAnsi="Arial" w:cs="Arial"/>
        </w:rPr>
        <w:t xml:space="preserve">Caldwell Eldridge, Sara L., Tamara M. Wood, Kathy R. Echols, and Brent R. Topping. 2013. “Microcystins, Nutrient Dynamics, and Other Environmental Factors During Blooms of Non-Microcystin-Producing Aphanizomenon Flos-Aquae in Upper Klamath Lake, Oregon, 2009.” </w:t>
      </w:r>
      <w:r w:rsidRPr="00EF5C2F">
        <w:rPr>
          <w:rFonts w:ascii="Arial" w:hAnsi="Arial" w:cs="Arial"/>
          <w:i/>
          <w:iCs/>
        </w:rPr>
        <w:t>Lake and Reservoir Management</w:t>
      </w:r>
      <w:r w:rsidRPr="00EF5C2F">
        <w:rPr>
          <w:rFonts w:ascii="Arial" w:hAnsi="Arial" w:cs="Arial"/>
        </w:rPr>
        <w:t xml:space="preserve"> 29 (1): 68–81. </w:t>
      </w:r>
      <w:hyperlink r:id="rId12">
        <w:r w:rsidRPr="00EF5C2F">
          <w:rPr>
            <w:rStyle w:val="Hyperlink"/>
            <w:rFonts w:ascii="Arial" w:hAnsi="Arial" w:cs="Arial"/>
          </w:rPr>
          <w:t>https://doi.org/10.1080/10402381.2013.775199</w:t>
        </w:r>
      </w:hyperlink>
      <w:r w:rsidRPr="00EF5C2F">
        <w:rPr>
          <w:rFonts w:ascii="Arial" w:hAnsi="Arial" w:cs="Arial"/>
        </w:rPr>
        <w:t>.</w:t>
      </w:r>
    </w:p>
    <w:p w14:paraId="42914E82" w14:textId="77777777" w:rsidR="00DD3C24" w:rsidRPr="00EF5C2F" w:rsidRDefault="00000000">
      <w:pPr>
        <w:pStyle w:val="Bibliography"/>
        <w:rPr>
          <w:rFonts w:ascii="Arial" w:hAnsi="Arial" w:cs="Arial"/>
        </w:rPr>
      </w:pPr>
      <w:bookmarkStart w:id="32" w:name="Xca1631530c080d3e6260d54105e6a99ed8cebd7"/>
      <w:bookmarkEnd w:id="31"/>
      <w:r w:rsidRPr="00EF5C2F">
        <w:rPr>
          <w:rFonts w:ascii="Arial" w:hAnsi="Arial" w:cs="Arial"/>
        </w:rPr>
        <w:t xml:space="preserve">Carmichael, Wayne W., and Gregory L. Boyer. 2016. “Health Impacts from Cyanobacteria Harmful Algae Blooms: Implications for the North American Great Lakes.” </w:t>
      </w:r>
      <w:r w:rsidRPr="00EF5C2F">
        <w:rPr>
          <w:rFonts w:ascii="Arial" w:hAnsi="Arial" w:cs="Arial"/>
          <w:i/>
          <w:iCs/>
        </w:rPr>
        <w:t>Harmful Algae</w:t>
      </w:r>
      <w:r w:rsidRPr="00EF5C2F">
        <w:rPr>
          <w:rFonts w:ascii="Arial" w:hAnsi="Arial" w:cs="Arial"/>
        </w:rPr>
        <w:t xml:space="preserve"> 54 (April): 194–212. </w:t>
      </w:r>
      <w:hyperlink r:id="rId13">
        <w:r w:rsidRPr="00EF5C2F">
          <w:rPr>
            <w:rStyle w:val="Hyperlink"/>
            <w:rFonts w:ascii="Arial" w:hAnsi="Arial" w:cs="Arial"/>
          </w:rPr>
          <w:t>https://doi.org/10.1016/j.hal.2016.02.002</w:t>
        </w:r>
      </w:hyperlink>
      <w:r w:rsidRPr="00EF5C2F">
        <w:rPr>
          <w:rFonts w:ascii="Arial" w:hAnsi="Arial" w:cs="Arial"/>
        </w:rPr>
        <w:t>.</w:t>
      </w:r>
    </w:p>
    <w:p w14:paraId="5B7DAA3D" w14:textId="70B35C1F" w:rsidR="00DD3C24" w:rsidRPr="00EF5C2F" w:rsidRDefault="00000000">
      <w:pPr>
        <w:pStyle w:val="Bibliography"/>
        <w:rPr>
          <w:rFonts w:ascii="Arial" w:hAnsi="Arial" w:cs="Arial"/>
        </w:rPr>
      </w:pPr>
      <w:bookmarkStart w:id="33" w:name="ref-eldridgeWaterQualityDataUpper2012"/>
      <w:bookmarkEnd w:id="32"/>
      <w:r w:rsidRPr="00EF5C2F">
        <w:rPr>
          <w:rFonts w:ascii="Arial" w:hAnsi="Arial" w:cs="Arial"/>
        </w:rPr>
        <w:t>Eldridge, D. Blake, Sara L. Caldwell Eldridge, Liam N. Schenk, Dwight Q. Tanner, and Tamara M. Wood. 2012. “Water-Quality Data from Upper Klamath and Agency Lakes, Oregon, 2009–10.” Scientific Investigations Report 2012-1142. U. S. Geological Survey.</w:t>
      </w:r>
    </w:p>
    <w:p w14:paraId="7EF8DE44" w14:textId="77777777" w:rsidR="00DD3C24" w:rsidRPr="00EF5C2F" w:rsidRDefault="00000000">
      <w:pPr>
        <w:pStyle w:val="Bibliography"/>
        <w:rPr>
          <w:rFonts w:ascii="Arial" w:hAnsi="Arial" w:cs="Arial"/>
        </w:rPr>
      </w:pPr>
      <w:bookmarkStart w:id="34" w:name="ref-gorelickGoogleEarthEngine2017"/>
      <w:bookmarkEnd w:id="33"/>
      <w:r w:rsidRPr="00EF5C2F">
        <w:rPr>
          <w:rFonts w:ascii="Arial" w:hAnsi="Arial" w:cs="Arial"/>
        </w:rPr>
        <w:t xml:space="preserve">Gorelick, Noel, Matt Hancher, Mike Dixon, Simon Ilyushchenko, David Thau, and Rebecca Moore. 2017. “Google Earth Engine: Planetary-scale Geospatial Analysis for Everyone.” </w:t>
      </w:r>
      <w:r w:rsidRPr="00EF5C2F">
        <w:rPr>
          <w:rFonts w:ascii="Arial" w:hAnsi="Arial" w:cs="Arial"/>
          <w:i/>
          <w:iCs/>
        </w:rPr>
        <w:t>Remote Sensing of Environment</w:t>
      </w:r>
      <w:r w:rsidRPr="00EF5C2F">
        <w:rPr>
          <w:rFonts w:ascii="Arial" w:hAnsi="Arial" w:cs="Arial"/>
        </w:rPr>
        <w:t xml:space="preserve"> 202: 18–27. </w:t>
      </w:r>
      <w:hyperlink r:id="rId14">
        <w:r w:rsidRPr="00EF5C2F">
          <w:rPr>
            <w:rStyle w:val="Hyperlink"/>
            <w:rFonts w:ascii="Arial" w:hAnsi="Arial" w:cs="Arial"/>
          </w:rPr>
          <w:t>https://doi.org/10.1016/j.rse.2017.06.031</w:t>
        </w:r>
      </w:hyperlink>
      <w:r w:rsidRPr="00EF5C2F">
        <w:rPr>
          <w:rFonts w:ascii="Arial" w:hAnsi="Arial" w:cs="Arial"/>
        </w:rPr>
        <w:t>.</w:t>
      </w:r>
    </w:p>
    <w:p w14:paraId="2C73DD6D" w14:textId="77777777" w:rsidR="00DD3C24" w:rsidRPr="00EF5C2F" w:rsidRDefault="00000000">
      <w:pPr>
        <w:pStyle w:val="Bibliography"/>
        <w:rPr>
          <w:rFonts w:ascii="Arial" w:hAnsi="Arial" w:cs="Arial"/>
        </w:rPr>
      </w:pPr>
      <w:bookmarkStart w:id="35" w:name="ref-huismanCyanobacterialBlooms2018"/>
      <w:bookmarkEnd w:id="34"/>
      <w:r w:rsidRPr="00EF5C2F">
        <w:rPr>
          <w:rFonts w:ascii="Arial" w:hAnsi="Arial" w:cs="Arial"/>
        </w:rPr>
        <w:t xml:space="preserve">Huisman, Jef, Geoffrey A. Codd, Hans W. Paerl, Bas W. Ibelings, Jolanda M. H. Verspagen, and Petra M. Visser. 2018. “Cyanobacterial Blooms.” </w:t>
      </w:r>
      <w:r w:rsidRPr="00EF5C2F">
        <w:rPr>
          <w:rFonts w:ascii="Arial" w:hAnsi="Arial" w:cs="Arial"/>
          <w:i/>
          <w:iCs/>
        </w:rPr>
        <w:t>Nature Reviews Microbiology</w:t>
      </w:r>
      <w:r w:rsidRPr="00EF5C2F">
        <w:rPr>
          <w:rFonts w:ascii="Arial" w:hAnsi="Arial" w:cs="Arial"/>
        </w:rPr>
        <w:t xml:space="preserve"> 16 (8): 471–83. </w:t>
      </w:r>
      <w:hyperlink r:id="rId15">
        <w:r w:rsidRPr="00EF5C2F">
          <w:rPr>
            <w:rStyle w:val="Hyperlink"/>
            <w:rFonts w:ascii="Arial" w:hAnsi="Arial" w:cs="Arial"/>
          </w:rPr>
          <w:t>https://doi.org/10.1038/s41579-018-0040-1</w:t>
        </w:r>
      </w:hyperlink>
      <w:r w:rsidRPr="00EF5C2F">
        <w:rPr>
          <w:rFonts w:ascii="Arial" w:hAnsi="Arial" w:cs="Arial"/>
        </w:rPr>
        <w:t>.</w:t>
      </w:r>
    </w:p>
    <w:p w14:paraId="740268B3" w14:textId="77777777" w:rsidR="00DD3C24" w:rsidRPr="00EF5C2F" w:rsidRDefault="00000000">
      <w:pPr>
        <w:pStyle w:val="Bibliography"/>
        <w:rPr>
          <w:rFonts w:ascii="Arial" w:hAnsi="Arial" w:cs="Arial"/>
        </w:rPr>
      </w:pPr>
      <w:bookmarkStart w:id="36" w:name="ref-j.c.rogerMODISSurfaceReflectance2023"/>
      <w:bookmarkEnd w:id="35"/>
      <w:r w:rsidRPr="00EF5C2F">
        <w:rPr>
          <w:rFonts w:ascii="Arial" w:hAnsi="Arial" w:cs="Arial"/>
        </w:rPr>
        <w:t>J. C. Roger, J. P. Ray, and E. F. Vermote. 2023. “MODIS Surface Reflectance User’s Guide.” MODIS Land Surface Reflectance Science Computing Facility.</w:t>
      </w:r>
    </w:p>
    <w:p w14:paraId="1B778D85" w14:textId="77777777" w:rsidR="00DD3C24" w:rsidRPr="00EF5C2F" w:rsidRDefault="00000000">
      <w:pPr>
        <w:pStyle w:val="Bibliography"/>
        <w:rPr>
          <w:rFonts w:ascii="Arial" w:hAnsi="Arial" w:cs="Arial"/>
        </w:rPr>
      </w:pPr>
      <w:bookmarkStart w:id="37" w:name="X6ccd549e994f5e21aa6909a63cf57955ddd35c6"/>
      <w:bookmarkEnd w:id="36"/>
      <w:r w:rsidRPr="00EF5C2F">
        <w:rPr>
          <w:rFonts w:ascii="Arial" w:hAnsi="Arial" w:cs="Arial"/>
        </w:rPr>
        <w:t xml:space="preserve">Jeon, Youchul, Ian Struewing, Kale Clauson, Nathan Reetz, Ned Fairchild, Lacey Goeres-Priest, Theo W. Dreher, et al. 2025. “Dominant Dolichospermum and Microcystin Production in Detroit Lake (Oregon, USA).” </w:t>
      </w:r>
      <w:r w:rsidRPr="00EF5C2F">
        <w:rPr>
          <w:rFonts w:ascii="Arial" w:hAnsi="Arial" w:cs="Arial"/>
          <w:i/>
          <w:iCs/>
        </w:rPr>
        <w:t>Harmful Algae</w:t>
      </w:r>
      <w:r w:rsidRPr="00EF5C2F">
        <w:rPr>
          <w:rFonts w:ascii="Arial" w:hAnsi="Arial" w:cs="Arial"/>
        </w:rPr>
        <w:t xml:space="preserve"> 142 (February): 102802. </w:t>
      </w:r>
      <w:hyperlink r:id="rId16">
        <w:r w:rsidRPr="00EF5C2F">
          <w:rPr>
            <w:rStyle w:val="Hyperlink"/>
            <w:rFonts w:ascii="Arial" w:hAnsi="Arial" w:cs="Arial"/>
          </w:rPr>
          <w:t>https://doi.org/10.1016/j.hal.2025.102802</w:t>
        </w:r>
      </w:hyperlink>
      <w:r w:rsidRPr="00EF5C2F">
        <w:rPr>
          <w:rFonts w:ascii="Arial" w:hAnsi="Arial" w:cs="Arial"/>
        </w:rPr>
        <w:t>.</w:t>
      </w:r>
    </w:p>
    <w:p w14:paraId="547CEFC5" w14:textId="77777777" w:rsidR="00DD3C24" w:rsidRPr="00EF5C2F" w:rsidRDefault="00000000">
      <w:pPr>
        <w:pStyle w:val="Bibliography"/>
        <w:rPr>
          <w:rFonts w:ascii="Arial" w:hAnsi="Arial" w:cs="Arial"/>
        </w:rPr>
      </w:pPr>
      <w:bookmarkStart w:id="38" w:name="X47a3e6c73b71b3a283c43b383f32c7c89345fc4"/>
      <w:bookmarkEnd w:id="37"/>
      <w:r w:rsidRPr="00EF5C2F">
        <w:rPr>
          <w:rFonts w:ascii="Arial" w:hAnsi="Arial" w:cs="Arial"/>
        </w:rPr>
        <w:t xml:space="preserve">Johansen, Richard A., Molly K. Reif, Christina L. Saltus, and Kaytee L. Pokrzywinski. 2024. “A Broadscale Assessment of Sentinel-2 Imagery and the Google Earth Engine for the Nationwide Mapping of Chlorophyll a.” </w:t>
      </w:r>
      <w:r w:rsidRPr="00EF5C2F">
        <w:rPr>
          <w:rFonts w:ascii="Arial" w:hAnsi="Arial" w:cs="Arial"/>
          <w:i/>
          <w:iCs/>
        </w:rPr>
        <w:t>Sustainability</w:t>
      </w:r>
      <w:r w:rsidRPr="00EF5C2F">
        <w:rPr>
          <w:rFonts w:ascii="Arial" w:hAnsi="Arial" w:cs="Arial"/>
        </w:rPr>
        <w:t xml:space="preserve"> 16 (5): 2090. </w:t>
      </w:r>
      <w:hyperlink r:id="rId17">
        <w:r w:rsidRPr="00EF5C2F">
          <w:rPr>
            <w:rStyle w:val="Hyperlink"/>
            <w:rFonts w:ascii="Arial" w:hAnsi="Arial" w:cs="Arial"/>
          </w:rPr>
          <w:t>https://doi.org/10.3390/su16052090</w:t>
        </w:r>
      </w:hyperlink>
      <w:r w:rsidRPr="00EF5C2F">
        <w:rPr>
          <w:rFonts w:ascii="Arial" w:hAnsi="Arial" w:cs="Arial"/>
        </w:rPr>
        <w:t>.</w:t>
      </w:r>
    </w:p>
    <w:p w14:paraId="58074B35" w14:textId="77777777" w:rsidR="00DD3C24" w:rsidRPr="00EF5C2F" w:rsidRDefault="00000000">
      <w:pPr>
        <w:pStyle w:val="Bibliography"/>
        <w:rPr>
          <w:rFonts w:ascii="Arial" w:hAnsi="Arial" w:cs="Arial"/>
        </w:rPr>
      </w:pPr>
      <w:bookmarkStart w:id="39" w:name="Xdcd6ce9d08831f7420fca1bd9adaede9953c0e3"/>
      <w:bookmarkEnd w:id="38"/>
      <w:r w:rsidRPr="00EF5C2F">
        <w:rPr>
          <w:rFonts w:ascii="Arial" w:hAnsi="Arial" w:cs="Arial"/>
        </w:rPr>
        <w:t xml:space="preserve">Mishra, Sachidananda, and Deepak R. Mishra. 2012. “Normalized Difference Chlorophyll Index: A Novel Model for Remote Estimation of Chlorophyll-a Concentration in Turbid Productive Waters.” </w:t>
      </w:r>
      <w:r w:rsidRPr="00EF5C2F">
        <w:rPr>
          <w:rFonts w:ascii="Arial" w:hAnsi="Arial" w:cs="Arial"/>
          <w:i/>
          <w:iCs/>
        </w:rPr>
        <w:t>Remote Sensing of Environment</w:t>
      </w:r>
      <w:r w:rsidRPr="00EF5C2F">
        <w:rPr>
          <w:rFonts w:ascii="Arial" w:hAnsi="Arial" w:cs="Arial"/>
        </w:rPr>
        <w:t xml:space="preserve"> 117 (February): 394–406. </w:t>
      </w:r>
      <w:hyperlink r:id="rId18">
        <w:r w:rsidRPr="00EF5C2F">
          <w:rPr>
            <w:rStyle w:val="Hyperlink"/>
            <w:rFonts w:ascii="Arial" w:hAnsi="Arial" w:cs="Arial"/>
          </w:rPr>
          <w:t>https://doi.org/10.1016/j.rse.2011.10.016</w:t>
        </w:r>
      </w:hyperlink>
      <w:r w:rsidRPr="00EF5C2F">
        <w:rPr>
          <w:rFonts w:ascii="Arial" w:hAnsi="Arial" w:cs="Arial"/>
        </w:rPr>
        <w:t>.</w:t>
      </w:r>
    </w:p>
    <w:p w14:paraId="2ADD06A6" w14:textId="77777777" w:rsidR="00DD3C24" w:rsidRPr="00EF5C2F" w:rsidRDefault="00000000">
      <w:pPr>
        <w:pStyle w:val="Bibliography"/>
        <w:rPr>
          <w:rFonts w:ascii="Arial" w:hAnsi="Arial" w:cs="Arial"/>
        </w:rPr>
      </w:pPr>
      <w:bookmarkStart w:id="40" w:name="ref-paerlHarmfulCyanobacterialBlooms2013"/>
      <w:bookmarkEnd w:id="39"/>
      <w:r w:rsidRPr="00EF5C2F">
        <w:rPr>
          <w:rFonts w:ascii="Arial" w:hAnsi="Arial" w:cs="Arial"/>
        </w:rPr>
        <w:t xml:space="preserve">Paerl, Hans W., and Timothy G. Otten. 2013. “Harmful Cyanobacterial Blooms: Causes, Consequences, and Controls.” </w:t>
      </w:r>
      <w:r w:rsidRPr="00EF5C2F">
        <w:rPr>
          <w:rFonts w:ascii="Arial" w:hAnsi="Arial" w:cs="Arial"/>
          <w:i/>
          <w:iCs/>
        </w:rPr>
        <w:t>Microbial Ecology</w:t>
      </w:r>
      <w:r w:rsidRPr="00EF5C2F">
        <w:rPr>
          <w:rFonts w:ascii="Arial" w:hAnsi="Arial" w:cs="Arial"/>
        </w:rPr>
        <w:t xml:space="preserve"> 65 (4): 995–1010. </w:t>
      </w:r>
      <w:hyperlink r:id="rId19">
        <w:r w:rsidRPr="00EF5C2F">
          <w:rPr>
            <w:rStyle w:val="Hyperlink"/>
            <w:rFonts w:ascii="Arial" w:hAnsi="Arial" w:cs="Arial"/>
          </w:rPr>
          <w:t>https://doi.org/10.1007/s00248-012-0159-y</w:t>
        </w:r>
      </w:hyperlink>
      <w:r w:rsidRPr="00EF5C2F">
        <w:rPr>
          <w:rFonts w:ascii="Arial" w:hAnsi="Arial" w:cs="Arial"/>
        </w:rPr>
        <w:t>.</w:t>
      </w:r>
    </w:p>
    <w:p w14:paraId="7C54D256" w14:textId="77777777" w:rsidR="00DD3C24" w:rsidRPr="00EF5C2F" w:rsidRDefault="00000000">
      <w:pPr>
        <w:pStyle w:val="Bibliography"/>
        <w:rPr>
          <w:rFonts w:ascii="Arial" w:hAnsi="Arial" w:cs="Arial"/>
        </w:rPr>
      </w:pPr>
      <w:bookmarkStart w:id="41" w:name="X0e2bf9a403a094bfc847506d7d579189229cd47"/>
      <w:bookmarkEnd w:id="40"/>
      <w:r w:rsidRPr="00EF5C2F">
        <w:rPr>
          <w:rFonts w:ascii="Arial" w:hAnsi="Arial" w:cs="Arial"/>
        </w:rPr>
        <w:lastRenderedPageBreak/>
        <w:t xml:space="preserve">Pahlevan, N., S. Sarkar, B. A. Franz, S. V. Balasubramanian, and J. He. 2017. “Sentinel-2 MultiSpectral Instrument (MSI) Data Processing for Aquatic Science Applications: Demonstrations and Validations.” </w:t>
      </w:r>
      <w:r w:rsidRPr="00EF5C2F">
        <w:rPr>
          <w:rFonts w:ascii="Arial" w:hAnsi="Arial" w:cs="Arial"/>
          <w:i/>
          <w:iCs/>
        </w:rPr>
        <w:t>Remote Sensing of Environment</w:t>
      </w:r>
      <w:r w:rsidRPr="00EF5C2F">
        <w:rPr>
          <w:rFonts w:ascii="Arial" w:hAnsi="Arial" w:cs="Arial"/>
        </w:rPr>
        <w:t xml:space="preserve"> 201 (November): 47–56. </w:t>
      </w:r>
      <w:hyperlink r:id="rId20">
        <w:r w:rsidRPr="00EF5C2F">
          <w:rPr>
            <w:rStyle w:val="Hyperlink"/>
            <w:rFonts w:ascii="Arial" w:hAnsi="Arial" w:cs="Arial"/>
          </w:rPr>
          <w:t>https://doi.org/10.1016/j.rse.2017.08.033</w:t>
        </w:r>
      </w:hyperlink>
      <w:r w:rsidRPr="00EF5C2F">
        <w:rPr>
          <w:rFonts w:ascii="Arial" w:hAnsi="Arial" w:cs="Arial"/>
        </w:rPr>
        <w:t>.</w:t>
      </w:r>
    </w:p>
    <w:p w14:paraId="5D162ABF" w14:textId="77777777" w:rsidR="00DD3C24" w:rsidRPr="00EF5C2F" w:rsidRDefault="00000000">
      <w:pPr>
        <w:pStyle w:val="Bibliography"/>
        <w:rPr>
          <w:rFonts w:ascii="Arial" w:hAnsi="Arial" w:cs="Arial"/>
        </w:rPr>
      </w:pPr>
      <w:bookmarkStart w:id="42" w:name="ref-phlipsClimaticTrendsTemporal2010"/>
      <w:bookmarkEnd w:id="41"/>
      <w:r w:rsidRPr="00EF5C2F">
        <w:rPr>
          <w:rFonts w:ascii="Arial" w:hAnsi="Arial" w:cs="Arial"/>
        </w:rPr>
        <w:t xml:space="preserve">Phlips, Edward J., Susan Badylak, Mary C. Christman, and Margaret A. Lasi. 2010. “Climatic Trends and Temporal Patterns of Phytoplankton Composition, Abundance, and Succession in the Indian River Lagoon, Florida, USA.” </w:t>
      </w:r>
      <w:r w:rsidRPr="00EF5C2F">
        <w:rPr>
          <w:rFonts w:ascii="Arial" w:hAnsi="Arial" w:cs="Arial"/>
          <w:i/>
          <w:iCs/>
        </w:rPr>
        <w:t>Estuaries and Coasts</w:t>
      </w:r>
      <w:r w:rsidRPr="00EF5C2F">
        <w:rPr>
          <w:rFonts w:ascii="Arial" w:hAnsi="Arial" w:cs="Arial"/>
        </w:rPr>
        <w:t xml:space="preserve"> 33 (2): 498–512. </w:t>
      </w:r>
      <w:hyperlink r:id="rId21">
        <w:r w:rsidRPr="00EF5C2F">
          <w:rPr>
            <w:rStyle w:val="Hyperlink"/>
            <w:rFonts w:ascii="Arial" w:hAnsi="Arial" w:cs="Arial"/>
          </w:rPr>
          <w:t>https://doi.org/10.1007/s12237-009-9166-8</w:t>
        </w:r>
      </w:hyperlink>
      <w:r w:rsidRPr="00EF5C2F">
        <w:rPr>
          <w:rFonts w:ascii="Arial" w:hAnsi="Arial" w:cs="Arial"/>
        </w:rPr>
        <w:t>.</w:t>
      </w:r>
    </w:p>
    <w:p w14:paraId="3672C4D1" w14:textId="77777777" w:rsidR="00DD3C24" w:rsidRPr="00EF5C2F" w:rsidRDefault="00000000">
      <w:pPr>
        <w:pStyle w:val="Bibliography"/>
        <w:rPr>
          <w:rFonts w:ascii="Arial" w:hAnsi="Arial" w:cs="Arial"/>
        </w:rPr>
      </w:pPr>
      <w:bookmarkStart w:id="43" w:name="ref-siebersImprovingAlgalBloom2025"/>
      <w:bookmarkEnd w:id="42"/>
      <w:r w:rsidRPr="00EF5C2F">
        <w:rPr>
          <w:rFonts w:ascii="Arial" w:hAnsi="Arial" w:cs="Arial"/>
        </w:rPr>
        <w:t xml:space="preserve">Siebers, Maud A. C., Mortimer Werther, Daniel Odermatt, Eleanor Mackay, Linda May, Thomas Shatwell, Ian Jones, Matthew Blake, and Peter D. Hunter. 2025. “Improving Algal Bloom Modelling in Eutrophic Lakes by Calibrating the General Lake Model with Satellite Remote Sensing Products.” </w:t>
      </w:r>
      <w:r w:rsidRPr="00EF5C2F">
        <w:rPr>
          <w:rFonts w:ascii="Arial" w:hAnsi="Arial" w:cs="Arial"/>
          <w:i/>
          <w:iCs/>
        </w:rPr>
        <w:t>Water Research X</w:t>
      </w:r>
      <w:r w:rsidRPr="00EF5C2F">
        <w:rPr>
          <w:rFonts w:ascii="Arial" w:hAnsi="Arial" w:cs="Arial"/>
        </w:rPr>
        <w:t xml:space="preserve"> 28 (September): 100386. </w:t>
      </w:r>
      <w:hyperlink r:id="rId22">
        <w:r w:rsidRPr="00EF5C2F">
          <w:rPr>
            <w:rStyle w:val="Hyperlink"/>
            <w:rFonts w:ascii="Arial" w:hAnsi="Arial" w:cs="Arial"/>
          </w:rPr>
          <w:t>https://doi.org/10.1016/j.wroa.2025.100386</w:t>
        </w:r>
      </w:hyperlink>
      <w:r w:rsidRPr="00EF5C2F">
        <w:rPr>
          <w:rFonts w:ascii="Arial" w:hAnsi="Arial" w:cs="Arial"/>
        </w:rPr>
        <w:t>.</w:t>
      </w:r>
    </w:p>
    <w:p w14:paraId="6BF56130" w14:textId="77777777" w:rsidR="00DD3C24" w:rsidRPr="00EF5C2F" w:rsidRDefault="00000000">
      <w:pPr>
        <w:pStyle w:val="Bibliography"/>
        <w:rPr>
          <w:rFonts w:ascii="Arial" w:hAnsi="Arial" w:cs="Arial"/>
        </w:rPr>
      </w:pPr>
      <w:bookmarkStart w:id="44" w:name="X4b0f8fbd66d450d67d56d6ba32b67fbb77666e0"/>
      <w:bookmarkEnd w:id="43"/>
      <w:r w:rsidRPr="00EF5C2F">
        <w:rPr>
          <w:rFonts w:ascii="Arial" w:hAnsi="Arial" w:cs="Arial"/>
        </w:rPr>
        <w:t xml:space="preserve">Steffen, Morgan M., Timothy W. Davis, R. Michael L. McKay, George S. Bullerjahn, Lauren E. Krausfeldt, Joshua M. A. Stough, Michelle L. Neitzey, et al. 2017. “Ecophysiological Examination of the Lake Erie </w:t>
      </w:r>
      <w:r w:rsidRPr="00EF5C2F">
        <w:rPr>
          <w:rFonts w:ascii="Arial" w:hAnsi="Arial" w:cs="Arial"/>
          <w:i/>
          <w:iCs/>
        </w:rPr>
        <w:t>Microcystis</w:t>
      </w:r>
      <w:r w:rsidRPr="00EF5C2F">
        <w:rPr>
          <w:rFonts w:ascii="Arial" w:hAnsi="Arial" w:cs="Arial"/>
        </w:rPr>
        <w:t xml:space="preserve"> Bloom in 2014: Linkages Between Biology and the Water Supply Shutdown of Toledo, OH.” </w:t>
      </w:r>
      <w:r w:rsidRPr="00EF5C2F">
        <w:rPr>
          <w:rFonts w:ascii="Arial" w:hAnsi="Arial" w:cs="Arial"/>
          <w:i/>
          <w:iCs/>
        </w:rPr>
        <w:t>Environmental Science &amp; Technology</w:t>
      </w:r>
      <w:r w:rsidRPr="00EF5C2F">
        <w:rPr>
          <w:rFonts w:ascii="Arial" w:hAnsi="Arial" w:cs="Arial"/>
        </w:rPr>
        <w:t xml:space="preserve"> 51 (12): 6745–55. </w:t>
      </w:r>
      <w:hyperlink r:id="rId23">
        <w:r w:rsidRPr="00EF5C2F">
          <w:rPr>
            <w:rStyle w:val="Hyperlink"/>
            <w:rFonts w:ascii="Arial" w:hAnsi="Arial" w:cs="Arial"/>
          </w:rPr>
          <w:t>https://doi.org/10.1021/acs.est.7b00856</w:t>
        </w:r>
      </w:hyperlink>
      <w:r w:rsidRPr="00EF5C2F">
        <w:rPr>
          <w:rFonts w:ascii="Arial" w:hAnsi="Arial" w:cs="Arial"/>
        </w:rPr>
        <w:t>.</w:t>
      </w:r>
    </w:p>
    <w:p w14:paraId="3F9E516B" w14:textId="4F1D5A94" w:rsidR="00DD3C24" w:rsidRPr="00EF5C2F" w:rsidRDefault="00000000">
      <w:pPr>
        <w:pStyle w:val="Bibliography"/>
        <w:rPr>
          <w:rFonts w:ascii="Arial" w:hAnsi="Arial" w:cs="Arial"/>
        </w:rPr>
      </w:pPr>
      <w:bookmarkStart w:id="45" w:name="Xc0e413f4a7d71cf84c04c09ec7b36409de68ee4"/>
      <w:bookmarkEnd w:id="44"/>
      <w:r w:rsidRPr="00EF5C2F">
        <w:rPr>
          <w:rFonts w:ascii="Arial" w:hAnsi="Arial" w:cs="Arial"/>
        </w:rPr>
        <w:t>Sullivan, Annett B., Stewart A. Rounds, Steven Sobieszczyk, and Heather M. Bragg. 2007. “Modeling Hydrodynamics, Water Temperature, and Suspended Sediment in Detroit Lake, Oregon.” Scientific Investigations Report 2007-5008. U. S. Geological Survey.</w:t>
      </w:r>
      <w:bookmarkEnd w:id="0"/>
      <w:bookmarkEnd w:id="26"/>
      <w:bookmarkEnd w:id="28"/>
      <w:bookmarkEnd w:id="45"/>
    </w:p>
    <w:sectPr w:rsidR="00DD3C24" w:rsidRPr="00EF5C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2150D" w14:textId="77777777" w:rsidR="00B05CD7" w:rsidRDefault="00B05CD7">
      <w:pPr>
        <w:spacing w:after="0"/>
      </w:pPr>
      <w:r>
        <w:separator/>
      </w:r>
    </w:p>
  </w:endnote>
  <w:endnote w:type="continuationSeparator" w:id="0">
    <w:p w14:paraId="0C3C794C" w14:textId="77777777" w:rsidR="00B05CD7" w:rsidRDefault="00B05C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7E161" w14:textId="77777777" w:rsidR="00B05CD7" w:rsidRDefault="00B05CD7">
      <w:r>
        <w:separator/>
      </w:r>
    </w:p>
  </w:footnote>
  <w:footnote w:type="continuationSeparator" w:id="0">
    <w:p w14:paraId="68D3D02D" w14:textId="77777777" w:rsidR="00B05CD7" w:rsidRDefault="00B05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418F4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4C8056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9F74B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17481462">
    <w:abstractNumId w:val="1"/>
  </w:num>
  <w:num w:numId="2" w16cid:durableId="8327949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9954718">
    <w:abstractNumId w:val="2"/>
  </w:num>
  <w:num w:numId="4" w16cid:durableId="844706234">
    <w:abstractNumId w:val="2"/>
  </w:num>
  <w:num w:numId="5" w16cid:durableId="297297936">
    <w:abstractNumId w:val="2"/>
  </w:num>
  <w:num w:numId="6" w16cid:durableId="2999605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A502A"/>
    <w:rsid w:val="004E29B3"/>
    <w:rsid w:val="00590D07"/>
    <w:rsid w:val="005B29C0"/>
    <w:rsid w:val="006D7268"/>
    <w:rsid w:val="00784D58"/>
    <w:rsid w:val="008D6863"/>
    <w:rsid w:val="00B05CD7"/>
    <w:rsid w:val="00B86B75"/>
    <w:rsid w:val="00BC48D5"/>
    <w:rsid w:val="00C36279"/>
    <w:rsid w:val="00D1775E"/>
    <w:rsid w:val="00DD3C24"/>
    <w:rsid w:val="00E315A3"/>
    <w:rsid w:val="00EF5C2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976802"/>
  <w15:docId w15:val="{70C455B9-6C18-6344-A086-E734D094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6D7268"/>
    <w:pPr>
      <w:keepNext/>
      <w:keepLines/>
      <w:spacing w:before="240" w:after="120"/>
      <w:outlineLvl w:val="1"/>
    </w:pPr>
    <w:rPr>
      <w:rFonts w:ascii="Arial" w:eastAsiaTheme="majorEastAsia" w:hAnsi="Arial" w:cs="Arial"/>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hal.2016.02.002" TargetMode="External"/><Relationship Id="rId18" Type="http://schemas.openxmlformats.org/officeDocument/2006/relationships/hyperlink" Target="https://doi.org/10.1016/j.rse.2011.10.016" TargetMode="External"/><Relationship Id="rId3" Type="http://schemas.openxmlformats.org/officeDocument/2006/relationships/settings" Target="settings.xml"/><Relationship Id="rId21" Type="http://schemas.openxmlformats.org/officeDocument/2006/relationships/hyperlink" Target="https://doi.org/10.1007/s12237-009-9166-8" TargetMode="External"/><Relationship Id="rId7" Type="http://schemas.openxmlformats.org/officeDocument/2006/relationships/image" Target="media/image1.png"/><Relationship Id="rId12" Type="http://schemas.openxmlformats.org/officeDocument/2006/relationships/hyperlink" Target="https://doi.org/10.1080/10402381.2013.775199" TargetMode="External"/><Relationship Id="rId17" Type="http://schemas.openxmlformats.org/officeDocument/2006/relationships/hyperlink" Target="https://doi.org/10.3390/su1605209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hal.2025.102802" TargetMode="External"/><Relationship Id="rId20" Type="http://schemas.openxmlformats.org/officeDocument/2006/relationships/hyperlink" Target="https://doi.org/10.1016/j.rse.2017.08.0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133/sir2012506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9-018-0040-1" TargetMode="External"/><Relationship Id="rId23" Type="http://schemas.openxmlformats.org/officeDocument/2006/relationships/hyperlink" Target="https://doi.org/10.1021/acs.est.7b00856" TargetMode="External"/><Relationship Id="rId10" Type="http://schemas.openxmlformats.org/officeDocument/2006/relationships/hyperlink" Target="https://doi.org/10.1002/etc.3220" TargetMode="External"/><Relationship Id="rId19" Type="http://schemas.openxmlformats.org/officeDocument/2006/relationships/hyperlink" Target="https://doi.org/10.1007/s00248-012-0159-y" TargetMode="External"/><Relationship Id="rId4" Type="http://schemas.openxmlformats.org/officeDocument/2006/relationships/webSettings" Target="webSettings.xml"/><Relationship Id="rId9" Type="http://schemas.openxmlformats.org/officeDocument/2006/relationships/hyperlink" Target="https://doi.org/10.1016/j.rse.2016.03.002" TargetMode="External"/><Relationship Id="rId14" Type="http://schemas.openxmlformats.org/officeDocument/2006/relationships/hyperlink" Target="https://doi.org/10.1016/j.rse.2017.06.031" TargetMode="External"/><Relationship Id="rId22" Type="http://schemas.openxmlformats.org/officeDocument/2006/relationships/hyperlink" Target="https://doi.org/10.1016/j.wroa.2025.1003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5404</Words>
  <Characters>30805</Characters>
  <Application>Microsoft Office Word</Application>
  <DocSecurity>0</DocSecurity>
  <Lines>256</Lines>
  <Paragraphs>72</Paragraphs>
  <ScaleCrop>false</ScaleCrop>
  <Company/>
  <LinksUpToDate>false</LinksUpToDate>
  <CharactersWithSpaces>36137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Todd Steissberg</cp:lastModifiedBy>
  <cp:revision>5</cp:revision>
  <dcterms:created xsi:type="dcterms:W3CDTF">2025-08-19T01:21:00Z</dcterms:created>
  <dcterms:modified xsi:type="dcterms:W3CDTF">2025-08-19T01:38:00Z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Steissberg_References.bib</vt:lpwstr>
  </property>
  <property fmtid="{D5CDD505-2E9C-101B-9397-08002B2CF9AE}" pid="3" name="date">
    <vt:lpwstr>2025-08-06</vt:lpwstr>
  </property>
  <property fmtid="{D5CDD505-2E9C-101B-9397-08002B2CF9AE}" pid="4" name="date-updated">
    <vt:lpwstr>2025-08-06</vt:lpwstr>
  </property>
  <property fmtid="{D5CDD505-2E9C-101B-9397-08002B2CF9AE}" pid="5" name="tags">
    <vt:lpwstr/>
  </property>
</Properties>
</file>