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20"/>
        <w:jc w:val="center"/>
      </w:pPr>
      <w:r>
        <w:rPr>
          <w:rFonts w:ascii="Arial" w:cs="Arial" w:eastAsia="Arial" w:hAnsi="Arial"/>
          <w:b/>
          <w:bCs/>
          <w:color w:val="1F497D"/>
          <w:sz w:val="36"/>
          <w:szCs w:val="36"/>
        </w:rPr>
        <w:t xml:space="preserve">Reconstruction-Only Discrete Bottlenecks Cannot Bridge the Visual–Linguistic Representational Gap</w:t>
      </w:r>
    </w:p>
    <w:p>
      <w:pPr>
        <w:spacing w:before="40" w:after="40"/>
        <w:jc w:val="center"/>
      </w:pPr>
      <w:r>
        <w:rPr>
          <w:rFonts w:ascii="Times New Roman" w:cs="Times New Roman" w:eastAsia="Times New Roman" w:hAnsi="Times New Roman"/>
          <w:i/>
          <w:iCs/>
          <w:color w:val="666666"/>
          <w:sz w:val="20"/>
          <w:szCs w:val="20"/>
        </w:rPr>
        <w:t xml:space="preserve">Anonymous submission</w:t>
      </w:r>
    </w:p>
    <w:p>
      <w:pPr>
        <w:spacing w:before="0" w:after="240"/>
        <w:jc w:val="center"/>
      </w:pPr>
      <w:r>
        <w:rPr>
          <w:rFonts w:ascii="Times New Roman" w:cs="Times New Roman" w:eastAsia="Times New Roman" w:hAnsi="Times New Roman"/>
          <w:i/>
          <w:iCs/>
          <w:color w:val="888888"/>
          <w:sz w:val="18"/>
          <w:szCs w:val="18"/>
        </w:rPr>
        <w:t xml:space="preserve">Preprint. Under review.</w:t>
      </w:r>
    </w:p>
    <w:p>
      <w:pPr>
        <w:pBdr>
          <w:bottom w:val="single" w:color="CCCCCC" w:sz="2" w:space="1"/>
        </w:pBdr>
        <w:spacing w:before="160" w:after="160"/>
      </w:pPr>
      <w:r>
        <w:rPr>
          <w:rFonts w:ascii="Times New Roman" w:cs="Times New Roman" w:eastAsia="Times New Roman" w:hAnsi="Times New Roman"/>
          <w:sz w:val="20"/>
          <w:szCs w:val="20"/>
        </w:rPr>
        <w:t xml:space="preserve"/>
      </w:r>
    </w:p>
    <w:p>
      <w:pPr>
        <w:spacing w:before="280" w:after="80"/>
      </w:pPr>
      <w:r>
        <w:rPr>
          <w:rFonts w:ascii="Arial" w:cs="Arial" w:eastAsia="Arial" w:hAnsi="Arial"/>
          <w:b/>
          <w:bCs/>
          <w:color w:val="1F497D"/>
          <w:sz w:val="28"/>
          <w:szCs w:val="28"/>
        </w:rPr>
        <w:t xml:space="preserve">Abstract</w:t>
      </w:r>
    </w:p>
    <w:p>
      <w:pPr>
        <w:spacing w:before="80" w:after="80"/>
      </w:pPr>
      <w:r>
        <w:rPr>
          <w:rFonts w:ascii="Times New Roman" w:cs="Times New Roman" w:eastAsia="Times New Roman" w:hAnsi="Times New Roman"/>
          <w:sz w:val="20"/>
          <w:szCs w:val="20"/>
        </w:rPr>
        <w:t xml:space="preserve">We investigate whether independently-trained visual and linguistic models organize physical concepts similarly, and whether a shared discrete bottleneck can bridge any representational gap. Using Representational Similarity Analysis (RSA) across five models — Mistral 7B, Sentence-Transformers (all-mpnet-base-v2), CLIP ViT-L/14, V-JEPA 2 (ViT-L), and MAE (ViT-L) — we find that visual and linguistic representations of 17 physical concepts are structurally orthogonal (r ≈ 0) at the within-category level. Apparent cross-modal alignment in broader concept sets is a categorical artifact: models agree that physical concepts differ from abstract ones, but not on the structure </w:t>
      </w:r>
      <w:r>
        <w:rPr>
          <w:rFonts w:ascii="Times New Roman" w:cs="Times New Roman" w:eastAsia="Times New Roman" w:hAnsi="Times New Roman"/>
          <w:i/>
          <w:iCs/>
          <w:sz w:val="20"/>
          <w:szCs w:val="20"/>
        </w:rPr>
        <w:t xml:space="preserve">within</w:t>
      </w:r>
      <w:r>
        <w:rPr>
          <w:rFonts w:ascii="Times New Roman" w:cs="Times New Roman" w:eastAsia="Times New Roman" w:hAnsi="Times New Roman"/>
          <w:sz w:val="20"/>
          <w:szCs w:val="20"/>
        </w:rPr>
        <w:t xml:space="preserve"> physical concepts. We further show that a shared VQ codebook trained with reconstruction loss alone collapses to two codes (one per modality) regardless of model geometry or the presence of a bridge modality (CLIP). Adding NT-Xent contrastive loss at λ=0.5 prevents collapse, yielding 14 active codes, 88% cross-modal concept agreement, and post-VQ RSA of +0.755. Two concepts — </w:t>
      </w:r>
      <w:r>
        <w:rPr>
          <w:rFonts w:ascii="Times New Roman" w:cs="Times New Roman" w:eastAsia="Times New Roman" w:hAnsi="Times New Roman"/>
          <w:i/>
          <w:iCs/>
          <w:sz w:val="20"/>
          <w:szCs w:val="20"/>
        </w:rPr>
        <w:t xml:space="preserve">hand</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hole</w:t>
      </w:r>
      <w:r>
        <w:rPr>
          <w:rFonts w:ascii="Times New Roman" w:cs="Times New Roman" w:eastAsia="Times New Roman" w:hAnsi="Times New Roman"/>
          <w:sz w:val="20"/>
          <w:szCs w:val="20"/>
        </w:rPr>
        <w:t xml:space="preserve"> — resist alignment across all conditions, consistent with their strong polysemy and sensorimotor grounding. These results bound the applicability of the Platonic Representation Hypothesis for small, domain-specialist models and establish contrastive alignment as a necessary component of cross-modal discrete tokenization.</w:t>
      </w:r>
    </w:p>
    <w:p>
      <w:pPr>
        <w:spacing w:before="60" w:after="60"/>
      </w:pPr>
      <w:r>
        <w:rPr>
          <w:rFonts w:ascii="Times New Roman" w:cs="Times New Roman" w:eastAsia="Times New Roman" w:hAnsi="Times New Roman"/>
          <w:sz w:val="20"/>
          <w:szCs w:val="20"/>
        </w:rPr>
        <w:t xml:space="preserve"/>
      </w:r>
    </w:p>
    <w:p>
      <w:pPr>
        <w:pBdr>
          <w:bottom w:val="single" w:color="CCCCCC" w:sz="2" w:space="1"/>
        </w:pBdr>
        <w:spacing w:before="160" w:after="160"/>
      </w:pPr>
      <w:r>
        <w:rPr>
          <w:rFonts w:ascii="Times New Roman" w:cs="Times New Roman" w:eastAsia="Times New Roman" w:hAnsi="Times New Roman"/>
          <w:sz w:val="20"/>
          <w:szCs w:val="20"/>
        </w:rPr>
        <w:t xml:space="preserve"/>
      </w:r>
    </w:p>
    <w:p>
      <w:pPr>
        <w:spacing w:before="280" w:after="80"/>
      </w:pPr>
      <w:r>
        <w:rPr>
          <w:rFonts w:ascii="Arial" w:cs="Arial" w:eastAsia="Arial" w:hAnsi="Arial"/>
          <w:b/>
          <w:bCs/>
          <w:color w:val="1F497D"/>
          <w:sz w:val="28"/>
          <w:szCs w:val="28"/>
        </w:rPr>
        <w:t xml:space="preserve">1  Introduction</w:t>
      </w:r>
    </w:p>
    <w:p>
      <w:pPr>
        <w:spacing w:before="80" w:after="80"/>
      </w:pPr>
      <w:r>
        <w:rPr>
          <w:rFonts w:ascii="Times New Roman" w:cs="Times New Roman" w:eastAsia="Times New Roman" w:hAnsi="Times New Roman"/>
          <w:sz w:val="20"/>
          <w:szCs w:val="20"/>
        </w:rPr>
        <w:t xml:space="preserve">A central question in representation learning is whether models trained on different data types — text, images, video — independently converge on similar internal representations of the physical world. Affirmative evidence would support the Platonic Representation Hypothesis (Huh et al., 2024), which argues that scaling drives vision and language models toward a shared statistical model of reality. Evidence against would suggest that representational structure is substantially determined by training data and objective, not by the structure of the physical world alone.</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In this work, we ask a more focused version of this question: do independently-trained vision and language models organize </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We make four main contributions:</w:t>
      </w:r>
    </w:p>
    <w:p>
      <w:pPr>
        <w:spacing w:before="60" w:after="60"/>
      </w:pPr>
      <w:r>
        <w:rPr>
          <w:rFonts w:ascii="Times New Roman" w:cs="Times New Roman" w:eastAsia="Times New Roman" w:hAnsi="Times New Roman"/>
          <w:sz w:val="20"/>
          <w:szCs w:val="20"/>
        </w:rPr>
        <w:t xml:space="preserve"/>
      </w:r>
    </w:p>
    <w:p>
      <w:pPr>
        <w:pStyle w:val="ListParagraph"/>
        <w:numPr>
          <w:ilvl w:val="0"/>
          <w:numId w:val="2"/>
        </w:numPr>
      </w:pPr>
      <w:r>
        <w:rPr>
          <w:rFonts w:ascii="Times New Roman" w:cs="Times New Roman" w:eastAsia="Times New Roman" w:hAnsi="Times New Roman"/>
          <w:sz w:val="20"/>
          <w:szCs w:val="20"/>
        </w:rPr>
        <w:t xml:space="preserve">We show that previously-reported cross-modal RSA correlations between language and vision models reflect a </w:t>
      </w:r>
      <w:r>
        <w:rPr>
          <w:rFonts w:ascii="Times New Roman" w:cs="Times New Roman" w:eastAsia="Times New Roman" w:hAnsi="Times New Roman"/>
          <w:b/>
          <w:bCs/>
          <w:sz w:val="20"/>
          <w:szCs w:val="20"/>
        </w:rPr>
        <w:t xml:space="preserve">categorical artifact</w:t>
      </w:r>
      <w:r>
        <w:rPr>
          <w:rFonts w:ascii="Times New Roman" w:cs="Times New Roman" w:eastAsia="Times New Roman" w:hAnsi="Times New Roman"/>
          <w:sz w:val="20"/>
          <w:szCs w:val="20"/>
        </w:rPr>
        <w:t xml:space="preserve">: the models agree that physical concepts differ from abstract ones, but within the physical category, pairwise correlations are indistinguishable from zero.</w:t>
      </w:r>
    </w:p>
    <w:p>
      <w:pPr>
        <w:pStyle w:val="ListParagraph"/>
        <w:numPr>
          <w:ilvl w:val="0"/>
          <w:numId w:val="2"/>
        </w:numPr>
      </w:pPr>
      <w:r>
        <w:rPr>
          <w:rFonts w:ascii="Times New Roman" w:cs="Times New Roman" w:eastAsia="Times New Roman" w:hAnsi="Times New Roman"/>
          <w:sz w:val="20"/>
          <w:szCs w:val="20"/>
        </w:rPr>
        <w:t xml:space="preserve">We identify a </w:t>
      </w:r>
      <w:r>
        <w:rPr>
          <w:rFonts w:ascii="Times New Roman" w:cs="Times New Roman" w:eastAsia="Times New Roman" w:hAnsi="Times New Roman"/>
          <w:b/>
          <w:bCs/>
          <w:sz w:val="20"/>
          <w:szCs w:val="20"/>
        </w:rPr>
        <w:t xml:space="preserve">training objective specificity</w:t>
      </w:r>
      <w:r>
        <w:rPr>
          <w:rFonts w:ascii="Times New Roman" w:cs="Times New Roman" w:eastAsia="Times New Roman" w:hAnsi="Times New Roman"/>
          <w:sz w:val="20"/>
          <w:szCs w:val="20"/>
        </w:rPr>
        <w:t xml:space="preserve"> effect: V-JEPA 2 (temporal video prediction) aligns with CLIP (r=+0.404) while MAE (static pixel reconstruction) does not (r=+0.087), despite identical ViT-L architectures, implicating the objective rather than the architecture as the driver of representational structure.</w:t>
      </w:r>
    </w:p>
    <w:p>
      <w:pPr>
        <w:pStyle w:val="ListParagraph"/>
        <w:numPr>
          <w:ilvl w:val="0"/>
          <w:numId w:val="2"/>
        </w:numPr>
      </w:pPr>
      <w:r>
        <w:rPr>
          <w:rFonts w:ascii="Times New Roman" w:cs="Times New Roman" w:eastAsia="Times New Roman" w:hAnsi="Times New Roman"/>
          <w:sz w:val="20"/>
          <w:szCs w:val="20"/>
        </w:rPr>
        <w:t xml:space="preserve">We demonstrate that </w:t>
      </w:r>
      <w:r>
        <w:rPr>
          <w:rFonts w:ascii="Times New Roman" w:cs="Times New Roman" w:eastAsia="Times New Roman" w:hAnsi="Times New Roman"/>
          <w:b/>
          <w:bCs/>
          <w:sz w:val="20"/>
          <w:szCs w:val="20"/>
        </w:rPr>
        <w:t xml:space="preserve">reconstruction-only VQ codebooks structurally collapse</w:t>
      </w:r>
      <w:r>
        <w:rPr>
          <w:rFonts w:ascii="Times New Roman" w:cs="Times New Roman" w:eastAsia="Times New Roman" w:hAnsi="Times New Roman"/>
          <w:sz w:val="20"/>
          <w:szCs w:val="20"/>
        </w:rPr>
        <w:t xml:space="preserve"> to modal identity codes — regardless of language model choice, geometric spread, or bridge modality — because between-modality variance dominates within-modality variance.</w:t>
      </w:r>
    </w:p>
    <w:p>
      <w:pPr>
        <w:pStyle w:val="ListParagraph"/>
        <w:numPr>
          <w:ilvl w:val="0"/>
          <w:numId w:val="2"/>
        </w:numPr>
      </w:pPr>
      <w:r>
        <w:rPr>
          <w:rFonts w:ascii="Times New Roman" w:cs="Times New Roman" w:eastAsia="Times New Roman" w:hAnsi="Times New Roman"/>
          <w:sz w:val="20"/>
          <w:szCs w:val="20"/>
        </w:rPr>
        <w:t xml:space="preserve">We show that NT-Xent contrastive loss at λ=0.5 is a </w:t>
      </w:r>
      <w:r>
        <w:rPr>
          <w:rFonts w:ascii="Times New Roman" w:cs="Times New Roman" w:eastAsia="Times New Roman" w:hAnsi="Times New Roman"/>
          <w:b/>
          <w:bCs/>
          <w:sz w:val="20"/>
          <w:szCs w:val="20"/>
        </w:rPr>
        <w:t xml:space="preserve">necessary and sufficient condition</w:t>
      </w:r>
      <w:r>
        <w:rPr>
          <w:rFonts w:ascii="Times New Roman" w:cs="Times New Roman" w:eastAsia="Times New Roman" w:hAnsi="Times New Roman"/>
          <w:sz w:val="20"/>
          <w:szCs w:val="20"/>
        </w:rPr>
        <w:t xml:space="preserve"> for preventing collapse, yielding 88% cross-modal concept agreement and simultaneously improving reconstruction quality.</w:t>
      </w:r>
    </w:p>
    <w:p>
      <w:pPr>
        <w:spacing w:before="60" w:after="60"/>
      </w:pPr>
      <w:r>
        <w:rPr>
          <w:rFonts w:ascii="Times New Roman" w:cs="Times New Roman" w:eastAsia="Times New Roman" w:hAnsi="Times New Roman"/>
          <w:sz w:val="20"/>
          <w:szCs w:val="20"/>
        </w:rPr>
        <w:t xml:space="preserve"/>
      </w:r>
    </w:p>
    <w:p>
      <w:pPr>
        <w:spacing w:before="280" w:after="80"/>
      </w:pPr>
      <w:r>
        <w:rPr>
          <w:rFonts w:ascii="Arial" w:cs="Arial" w:eastAsia="Arial" w:hAnsi="Arial"/>
          <w:b/>
          <w:bCs/>
          <w:color w:val="1F497D"/>
          <w:sz w:val="28"/>
          <w:szCs w:val="28"/>
        </w:rPr>
        <w:t xml:space="preserve">2  Related Work</w:t>
      </w:r>
    </w:p>
    <w:p>
      <w:pPr>
        <w:spacing w:before="200" w:after="80"/>
      </w:pPr>
      <w:r>
        <w:rPr>
          <w:rFonts w:ascii="Arial" w:cs="Arial" w:eastAsia="Arial" w:hAnsi="Arial"/>
          <w:b/>
          <w:bCs/>
          <w:color w:val="000000"/>
          <w:sz w:val="24"/>
          <w:szCs w:val="24"/>
        </w:rPr>
        <w:t xml:space="preserve">2.1  Cross-Modal Representational Alignment</w:t>
      </w:r>
    </w:p>
    <w:p>
      <w:pPr>
        <w:spacing w:before="80" w:after="80"/>
      </w:pPr>
      <w:r>
        <w:rPr>
          <w:rFonts w:ascii="Times New Roman" w:cs="Times New Roman" w:eastAsia="Times New Roman" w:hAnsi="Times New Roman"/>
          <w:sz w:val="20"/>
          <w:szCs w:val="20"/>
        </w:rPr>
        <w:t xml:space="preserve">Representational Similarity Analysis (RSA), introduced by Kriegeskorte et al. (2008), compares internal geometry across systems by correlating pairwise similarity matrices. It has been applied extensively in neuroscience to compare fMRI, EEG, and computational model representations (Nili et al., 2014; Cichy et al., 2014).</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The Platonic Representation Hypothesis (Huh et al., 2024) used RSA-style alignment metrics to argue that vision and language models converge toward a shared representation as they scale. Their evidence draws on larger models and broader concept sets than those considered here. Our work tests whether this convergence holds for small models on a semantically restricted set of </w:t>
      </w:r>
      <w:r>
        <w:rPr>
          <w:rFonts w:ascii="Times New Roman" w:cs="Times New Roman" w:eastAsia="Times New Roman" w:hAnsi="Times New Roman"/>
          <w:i/>
          <w:iCs/>
          <w:sz w:val="20"/>
          <w:szCs w:val="20"/>
        </w:rPr>
        <w:t xml:space="preserve">physical</w:t>
      </w:r>
      <w:r>
        <w:rPr>
          <w:rFonts w:ascii="Times New Roman" w:cs="Times New Roman" w:eastAsia="Times New Roman" w:hAnsi="Times New Roman"/>
          <w:sz w:val="20"/>
          <w:szCs w:val="20"/>
        </w:rPr>
        <w:t xml:space="preserve"> concepts, and shows that at this scale and specificity the apparent cross-modal alignment is artifactual.</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Abdou et al. (2021) showed that LLMs can learn visual similarity structure from text alone, a related but distinct claim: that text co-occurrence statistics encode visual properties, not that representations are geometrically aligned. Ogg et al. (2024) used Turing RSA to assess alignment between LLM representations and human semantic judgments.</w:t>
      </w:r>
    </w:p>
    <w:p>
      <w:pPr>
        <w:spacing w:before="60" w:after="60"/>
      </w:pPr>
      <w:r>
        <w:rPr>
          <w:rFonts w:ascii="Times New Roman" w:cs="Times New Roman" w:eastAsia="Times New Roman" w:hAnsi="Times New Roman"/>
          <w:sz w:val="20"/>
          <w:szCs w:val="20"/>
        </w:rPr>
        <w:t xml:space="preserve"/>
      </w:r>
    </w:p>
    <w:p>
      <w:pPr>
        <w:spacing w:before="200" w:after="80"/>
      </w:pPr>
      <w:r>
        <w:rPr>
          <w:rFonts w:ascii="Arial" w:cs="Arial" w:eastAsia="Arial" w:hAnsi="Arial"/>
          <w:b/>
          <w:bCs/>
          <w:color w:val="000000"/>
          <w:sz w:val="24"/>
          <w:szCs w:val="24"/>
        </w:rPr>
        <w:t xml:space="preserve">2.2  Discrete Tokenization for Multimodal Models</w:t>
      </w:r>
    </w:p>
    <w:p>
      <w:pPr>
        <w:spacing w:before="80" w:after="80"/>
      </w:pPr>
      <w:r>
        <w:rPr>
          <w:rFonts w:ascii="Times New Roman" w:cs="Times New Roman" w:eastAsia="Times New Roman" w:hAnsi="Times New Roman"/>
          <w:sz w:val="20"/>
          <w:szCs w:val="20"/>
        </w:rPr>
        <w:t xml:space="preserve">VQ-VAE (van den Oord et al., 2017) and VQGAN (Esser et al., 2021) established vector quantization as a standard approach to discrete visual tokenization. LaVIT (Jin et al., 2023), DALL-E (Ramesh et al., 2021), and Chameleon (Team, 2024) extend this to multimodal language model training by treating visual tokens as a foreign language. All of these methods train the codebook on paired or jointly-supervised data. Our work specifically characterizes what happens when a VQ codebook is applied to independently-trained models — a regime that has not, to our knowledge, been directly analyzed.</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Codebook collapse is a known failure mode of VQ training (see the survey by Zhu et al., 2025), typically addressed through techniques such as codebook reset, EMA updates, or commitment loss tuning. We demonstrate that collapse in the cross-modal setting has a distinct structural cause — modality identity dominates the quantization objective — that these standard techniques cannot address without changing the loss.</w:t>
      </w:r>
    </w:p>
    <w:p>
      <w:pPr>
        <w:spacing w:before="60" w:after="60"/>
      </w:pPr>
      <w:r>
        <w:rPr>
          <w:rFonts w:ascii="Times New Roman" w:cs="Times New Roman" w:eastAsia="Times New Roman" w:hAnsi="Times New Roman"/>
          <w:sz w:val="20"/>
          <w:szCs w:val="20"/>
        </w:rPr>
        <w:t xml:space="preserve"/>
      </w:r>
    </w:p>
    <w:p>
      <w:pPr>
        <w:spacing w:before="200" w:after="80"/>
      </w:pPr>
      <w:r>
        <w:rPr>
          <w:rFonts w:ascii="Arial" w:cs="Arial" w:eastAsia="Arial" w:hAnsi="Arial"/>
          <w:b/>
          <w:bCs/>
          <w:color w:val="000000"/>
          <w:sz w:val="24"/>
          <w:szCs w:val="24"/>
        </w:rPr>
        <w:t xml:space="preserve">2.3  World Models and Language</w:t>
      </w:r>
    </w:p>
    <w:p>
      <w:pPr>
        <w:spacing w:before="80" w:after="80"/>
      </w:pPr>
      <w:r>
        <w:rPr>
          <w:rFonts w:ascii="Times New Roman" w:cs="Times New Roman" w:eastAsia="Times New Roman" w:hAnsi="Times New Roman"/>
          <w:sz w:val="20"/>
          <w:szCs w:val="20"/>
        </w:rPr>
        <w:t xml:space="preserve">Ha &amp; Schmidhuber (2018) introduced the modern world model framing, and V-JEPA (Assran et al., 2023; 2024) extends this to temporal prediction of masked video regions without pixel reconstruction. The relationship between video-predictive models and linguistic representations has not been directly assessed using RSA. Our finding that V-JEPA 2 aligns specifically with CLIP (r=+0.404) while MAE does not (r=+0.087) extends the training objective analysis of Assran et al. into the representational geometry domain.</w:t>
      </w:r>
    </w:p>
    <w:p>
      <w:pPr>
        <w:spacing w:before="60" w:after="60"/>
      </w:pPr>
      <w:r>
        <w:rPr>
          <w:rFonts w:ascii="Times New Roman" w:cs="Times New Roman" w:eastAsia="Times New Roman" w:hAnsi="Times New Roman"/>
          <w:sz w:val="20"/>
          <w:szCs w:val="20"/>
        </w:rPr>
        <w:t xml:space="preserve"/>
      </w:r>
    </w:p>
    <w:p>
      <w:pPr>
        <w:pBdr>
          <w:bottom w:val="single" w:color="CCCCCC" w:sz="2" w:space="1"/>
        </w:pBdr>
        <w:spacing w:before="160" w:after="160"/>
      </w:pPr>
      <w:r>
        <w:rPr>
          <w:rFonts w:ascii="Times New Roman" w:cs="Times New Roman" w:eastAsia="Times New Roman" w:hAnsi="Times New Roman"/>
          <w:sz w:val="20"/>
          <w:szCs w:val="20"/>
        </w:rPr>
        <w:t xml:space="preserve"/>
      </w:r>
    </w:p>
    <w:p>
      <w:pPr>
        <w:spacing w:before="280" w:after="80"/>
      </w:pPr>
      <w:r>
        <w:rPr>
          <w:rFonts w:ascii="Arial" w:cs="Arial" w:eastAsia="Arial" w:hAnsi="Arial"/>
          <w:b/>
          <w:bCs/>
          <w:color w:val="1F497D"/>
          <w:sz w:val="28"/>
          <w:szCs w:val="28"/>
        </w:rPr>
        <w:t xml:space="preserve">3  Experimental Setup</w:t>
      </w:r>
    </w:p>
    <w:p>
      <w:pPr>
        <w:spacing w:before="200" w:after="80"/>
      </w:pPr>
      <w:r>
        <w:rPr>
          <w:rFonts w:ascii="Arial" w:cs="Arial" w:eastAsia="Arial" w:hAnsi="Arial"/>
          <w:b/>
          <w:bCs/>
          <w:color w:val="000000"/>
          <w:sz w:val="24"/>
          <w:szCs w:val="24"/>
        </w:rPr>
        <w:t xml:space="preserve">3.1  Concept Set</w:t>
      </w:r>
    </w:p>
    <w:p>
      <w:pPr>
        <w:spacing w:before="80" w:after="80"/>
      </w:pPr>
      <w:r>
        <w:rPr>
          <w:rFonts w:ascii="Times New Roman" w:cs="Times New Roman" w:eastAsia="Times New Roman" w:hAnsi="Times New Roman"/>
          <w:sz w:val="20"/>
          <w:szCs w:val="20"/>
        </w:rPr>
        <w:t xml:space="preserve">We evaluate 17 physical concepts: </w:t>
      </w:r>
      <w:r>
        <w:rPr>
          <w:rFonts w:ascii="Times New Roman" w:cs="Times New Roman" w:eastAsia="Times New Roman" w:hAnsi="Times New Roman"/>
          <w:i/>
          <w:iCs/>
          <w:sz w:val="20"/>
          <w:szCs w:val="20"/>
        </w:rPr>
        <w:t xml:space="preserve">apple, chair, water, fire, stone, rope, door, container, shadow, mirror, knife, wheel, hand, wall, hole, bridge, ladder</w:t>
      </w:r>
      <w:r>
        <w:rPr>
          <w:rFonts w:ascii="Times New Roman" w:cs="Times New Roman" w:eastAsia="Times New Roman" w:hAnsi="Times New Roman"/>
          <w:sz w:val="20"/>
          <w:szCs w:val="20"/>
        </w:rPr>
        <w:t xml:space="preserve">. Concepts were chosen to span the dimensions of rigidity (rigid vs. flexible), origin (natural vs. artificial), and dynamics (static vs. dynamic). For Experiments 1–2, we additionally include 16 abstract concepts (</w:t>
      </w:r>
      <w:r>
        <w:rPr>
          <w:rFonts w:ascii="Times New Roman" w:cs="Times New Roman" w:eastAsia="Times New Roman" w:hAnsi="Times New Roman"/>
          <w:i/>
          <w:iCs/>
          <w:sz w:val="20"/>
          <w:szCs w:val="20"/>
        </w:rPr>
        <w:t xml:space="preserve">love, justice, democracy, ...</w:t>
      </w:r>
      <w:r>
        <w:rPr>
          <w:rFonts w:ascii="Times New Roman" w:cs="Times New Roman" w:eastAsia="Times New Roman" w:hAnsi="Times New Roman"/>
          <w:sz w:val="20"/>
          <w:szCs w:val="20"/>
        </w:rPr>
        <w:t xml:space="preserve">) to serve as a category-level control.</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For each concept, we collected the Wikipedia introductory paragraph (for text-based models) and the Wikipedia lead image (for vision-based models), accessed via the MediaWiki API with locally-cached images to control for retrieval conditions.</w:t>
      </w:r>
    </w:p>
    <w:p>
      <w:pPr>
        <w:spacing w:before="60" w:after="60"/>
      </w:pPr>
      <w:r>
        <w:rPr>
          <w:rFonts w:ascii="Times New Roman" w:cs="Times New Roman" w:eastAsia="Times New Roman" w:hAnsi="Times New Roman"/>
          <w:sz w:val="20"/>
          <w:szCs w:val="20"/>
        </w:rPr>
        <w:t xml:space="preserve"/>
      </w:r>
    </w:p>
    <w:p>
      <w:pPr>
        <w:spacing w:before="200" w:after="80"/>
      </w:pPr>
      <w:r>
        <w:rPr>
          <w:rFonts w:ascii="Arial" w:cs="Arial" w:eastAsia="Arial" w:hAnsi="Arial"/>
          <w:b/>
          <w:bCs/>
          <w:color w:val="000000"/>
          <w:sz w:val="24"/>
          <w:szCs w:val="24"/>
        </w:rPr>
        <w:t xml:space="preserve">3.2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720"/>
        <w:gridCol w:w="4440"/>
      </w:tblGrid>
      <w:tr>
        <w:tc>
          <w:tcPr>
            <w:tcW w:type="dxa" w:w="24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Model</w:t>
            </w:r>
          </w:p>
        </w:tc>
        <w:tc>
          <w:tcPr>
            <w:tcW w:type="dxa" w:w="18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Type</w:t>
            </w:r>
          </w:p>
        </w:tc>
        <w:tc>
          <w:tcPr>
            <w:tcW w:type="dxa" w:w="72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Dim</w:t>
            </w:r>
          </w:p>
        </w:tc>
        <w:tc>
          <w:tcPr>
            <w:tcW w:type="dxa" w:w="444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Representation</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Mistral 7B Instruct</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Language model</w:t>
            </w:r>
          </w:p>
        </w:tc>
        <w:tc>
          <w:tcPr>
            <w:tcW w:type="dxa" w:w="72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4096</w:t>
            </w:r>
          </w:p>
        </w:tc>
        <w:tc>
          <w:tcPr>
            <w:tcW w:type="dxa" w:w="444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Layer 16 last-token hidden state</w:t>
            </w:r>
          </w:p>
        </w:tc>
      </w:tr>
      <w:tr>
        <w:tc>
          <w:tcPr>
            <w:tcW w:type="dxa" w:w="24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Sentence-Transformers (all-mpnet-base-v2)</w:t>
            </w:r>
          </w:p>
        </w:tc>
        <w:tc>
          <w:tcPr>
            <w:tcW w:type="dxa" w:w="1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Sentence encoder</w:t>
            </w:r>
          </w:p>
        </w:tc>
        <w:tc>
          <w:tcPr>
            <w:tcW w:type="dxa" w:w="72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768</w:t>
            </w:r>
          </w:p>
        </w:tc>
        <w:tc>
          <w:tcPr>
            <w:tcW w:type="dxa" w:w="444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CLS pooled output</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CLIP ViT-L/14</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Vision-language</w:t>
            </w:r>
          </w:p>
        </w:tc>
        <w:tc>
          <w:tcPr>
            <w:tcW w:type="dxa" w:w="72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768</w:t>
            </w:r>
          </w:p>
        </w:tc>
        <w:tc>
          <w:tcPr>
            <w:tcW w:type="dxa" w:w="444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Visual projection of lead image</w:t>
            </w:r>
          </w:p>
        </w:tc>
      </w:tr>
      <w:tr>
        <w:tc>
          <w:tcPr>
            <w:tcW w:type="dxa" w:w="24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V-JEPA 2 (vjepa2-vitl-fpc64-256)</w:t>
            </w:r>
          </w:p>
        </w:tc>
        <w:tc>
          <w:tcPr>
            <w:tcW w:type="dxa" w:w="1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World model</w:t>
            </w:r>
          </w:p>
        </w:tc>
        <w:tc>
          <w:tcPr>
            <w:tcW w:type="dxa" w:w="72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1024</w:t>
            </w:r>
          </w:p>
        </w:tc>
        <w:tc>
          <w:tcPr>
            <w:tcW w:type="dxa" w:w="444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Mean of context tokens (skip_predictor=True)</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MAE ViT-L</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Visual autoencoder</w:t>
            </w:r>
          </w:p>
        </w:tc>
        <w:tc>
          <w:tcPr>
            <w:tcW w:type="dxa" w:w="72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1024</w:t>
            </w:r>
          </w:p>
        </w:tc>
        <w:tc>
          <w:tcPr>
            <w:tcW w:type="dxa" w:w="444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Mean of all 197 patch tokens (mask_ratio=0.0)</w:t>
            </w:r>
          </w:p>
        </w:tc>
      </w:tr>
    </w:tbl>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V-JEPA 2 requires video input; static lead images were replicated 8 times to form a minimal video clip. While this is a known workaround, it represents the standard evaluation protocol for static-concept probing of video models.</w:t>
      </w:r>
    </w:p>
    <w:p>
      <w:pPr>
        <w:spacing w:before="60" w:after="60"/>
      </w:pPr>
      <w:r>
        <w:rPr>
          <w:rFonts w:ascii="Times New Roman" w:cs="Times New Roman" w:eastAsia="Times New Roman" w:hAnsi="Times New Roman"/>
          <w:sz w:val="20"/>
          <w:szCs w:val="20"/>
        </w:rPr>
        <w:t xml:space="preserve"/>
      </w:r>
    </w:p>
    <w:p>
      <w:pPr>
        <w:spacing w:before="200" w:after="80"/>
      </w:pPr>
      <w:r>
        <w:rPr>
          <w:rFonts w:ascii="Arial" w:cs="Arial" w:eastAsia="Arial" w:hAnsi="Arial"/>
          <w:b/>
          <w:bCs/>
          <w:color w:val="000000"/>
          <w:sz w:val="24"/>
          <w:szCs w:val="24"/>
        </w:rPr>
        <w:t xml:space="preserve">3.3  RSA Protocol</w:t>
      </w:r>
    </w:p>
    <w:p>
      <w:pPr>
        <w:spacing w:before="80" w:after="80"/>
      </w:pPr>
      <w:r>
        <w:rPr>
          <w:rFonts w:ascii="Times New Roman" w:cs="Times New Roman" w:eastAsia="Times New Roman" w:hAnsi="Times New Roman"/>
          <w:sz w:val="20"/>
          <w:szCs w:val="20"/>
        </w:rPr>
        <w:t xml:space="preserve">For each model, we compute pairwise cosine similarities across all concept embeddings, yielding a symmetric similarity matrix. RSA scores are computed as the Spearman rank correlation between the upper triangles of two models' similarity matrices. Significance is assessed via permutation test with 10,000 permutations. Physical concept analyses restrict the matrix to the 17×17 block of physical concepts, excluding cross-category entries.</w:t>
      </w:r>
    </w:p>
    <w:p>
      <w:pPr>
        <w:spacing w:before="60" w:after="60"/>
      </w:pPr>
      <w:r>
        <w:rPr>
          <w:rFonts w:ascii="Times New Roman" w:cs="Times New Roman" w:eastAsia="Times New Roman" w:hAnsi="Times New Roman"/>
          <w:sz w:val="20"/>
          <w:szCs w:val="20"/>
        </w:rPr>
        <w:t xml:space="preserve"/>
      </w:r>
    </w:p>
    <w:p>
      <w:pPr>
        <w:spacing w:before="200" w:after="80"/>
      </w:pPr>
      <w:r>
        <w:rPr>
          <w:rFonts w:ascii="Arial" w:cs="Arial" w:eastAsia="Arial" w:hAnsi="Arial"/>
          <w:b/>
          <w:bCs/>
          <w:color w:val="000000"/>
          <w:sz w:val="24"/>
          <w:szCs w:val="24"/>
        </w:rPr>
        <w:t xml:space="preserve">3.4  VQ Codebook</w:t>
      </w:r>
    </w:p>
    <w:p>
      <w:pPr>
        <w:spacing w:before="80" w:after="80"/>
      </w:pPr>
      <w:r>
        <w:rPr>
          <w:rFonts w:ascii="Times New Roman" w:cs="Times New Roman" w:eastAsia="Times New Roman" w:hAnsi="Times New Roman"/>
          <w:sz w:val="20"/>
          <w:szCs w:val="20"/>
        </w:rPr>
        <w:t xml:space="preserve">Architecture: Linear+LayerNorm encoders (input → 256-dim), EMA VQ layer (64 codes × 256-dim, decay=0.99), Linear decoders (256-dim → input). Training: 200 epochs, Adam lr=1e-3, batch size 32. To augment the 17-concept dataset, each base embedding generates 30 noisy variants (Gaussian noise, σ=0.1) followed by L2 renormalization, yielding 510 training samples per modality.</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Total loss: </w:t>
      </w:r>
    </w:p>
    <w:p>
      <w:pPr>
        <w:spacing w:before="60" w:after="60"/>
      </w:pPr>
      <w:r>
        <w:rPr>
          <w:rFonts w:ascii="Times New Roman" w:cs="Times New Roman" w:eastAsia="Times New Roman" w:hAnsi="Times New Roman"/>
          <w:sz w:val="20"/>
          <w:szCs w:val="20"/>
        </w:rPr>
        <w:t xml:space="preserve"/>
      </w:r>
    </w:p>
    <w:p>
      <w:pPr>
        <w:pBdr>
          <w:bottom w:val="single" w:color="CCCCCC" w:sz="2" w:space="1"/>
        </w:pBdr>
        <w:spacing w:before="160" w:after="160"/>
      </w:pPr>
      <w:r>
        <w:rPr>
          <w:rFonts w:ascii="Times New Roman" w:cs="Times New Roman" w:eastAsia="Times New Roman" w:hAnsi="Times New Roman"/>
          <w:sz w:val="20"/>
          <w:szCs w:val="20"/>
        </w:rPr>
        <w:t xml:space="preserve"/>
      </w:r>
    </w:p>
    <w:p>
      <w:pPr>
        <w:spacing w:before="280" w:after="80"/>
      </w:pPr>
      <w:r>
        <w:rPr>
          <w:rFonts w:ascii="Arial" w:cs="Arial" w:eastAsia="Arial" w:hAnsi="Arial"/>
          <w:b/>
          <w:bCs/>
          <w:color w:val="1F497D"/>
          <w:sz w:val="28"/>
          <w:szCs w:val="28"/>
        </w:rPr>
        <w:t xml:space="preserve">4  Results</w:t>
      </w:r>
    </w:p>
    <w:p>
      <w:pPr>
        <w:spacing w:before="200" w:after="80"/>
      </w:pPr>
      <w:r>
        <w:rPr>
          <w:rFonts w:ascii="Arial" w:cs="Arial" w:eastAsia="Arial" w:hAnsi="Arial"/>
          <w:b/>
          <w:bCs/>
          <w:color w:val="000000"/>
          <w:sz w:val="24"/>
          <w:szCs w:val="24"/>
        </w:rPr>
        <w:t xml:space="preserve">4.1  The Cross-Category RSA Signal Is Artifactual (Experiments 1–2)</w:t>
      </w:r>
    </w:p>
    <w:p>
      <w:pPr>
        <w:spacing w:before="80" w:after="80"/>
      </w:pPr>
      <w:r>
        <w:rPr>
          <w:rFonts w:ascii="Times New Roman" w:cs="Times New Roman" w:eastAsia="Times New Roman" w:hAnsi="Times New Roman"/>
          <w:sz w:val="20"/>
          <w:szCs w:val="20"/>
        </w:rPr>
        <w:t xml:space="preserve">Table 2 compares RSA scores computed over all 33 concepts (physical + abstract) against scores restricted to the 17 physical concepts.</w:t>
      </w:r>
    </w:p>
    <w:p>
      <w:pPr>
        <w:spacing w:before="60" w:after="60"/>
      </w:pPr>
      <w:r>
        <w:rPr>
          <w:rFonts w:ascii="Times New Roman" w:cs="Times New Roman" w:eastAsia="Times New Roman" w:hAnsi="Times New Roman"/>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000"/>
        <w:gridCol w:w="1600"/>
        <w:gridCol w:w="1000"/>
        <w:gridCol w:w="2160"/>
      </w:tblGrid>
      <w:tr>
        <w:tc>
          <w:tcPr>
            <w:tcW w:type="dxa" w:w="24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Model pair</w:t>
            </w:r>
          </w:p>
        </w:tc>
        <w:tc>
          <w:tcPr>
            <w:tcW w:type="dxa" w:w="12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r (all 33)</w:t>
            </w:r>
          </w:p>
        </w:tc>
        <w:tc>
          <w:tcPr>
            <w:tcW w:type="dxa" w:w="10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p</w:t>
            </w:r>
          </w:p>
        </w:tc>
        <w:tc>
          <w:tcPr>
            <w:tcW w:type="dxa" w:w="16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r (physical, 17)</w:t>
            </w:r>
          </w:p>
        </w:tc>
        <w:tc>
          <w:tcPr>
            <w:tcW w:type="dxa" w:w="10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p</w:t>
            </w:r>
          </w:p>
        </w:tc>
        <w:tc>
          <w:tcPr>
            <w:tcW w:type="dxa" w:w="216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Interpretation</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Mistral vs CLIP</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+0.325</w:t>
            </w:r>
          </w:p>
        </w:tc>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&lt;0.001*</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+0.039</w:t>
            </w:r>
          </w:p>
        </w:tc>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0.612</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Artifact — category membership only</w:t>
            </w:r>
          </w:p>
        </w:tc>
      </w:tr>
      <w:tr>
        <w:tc>
          <w:tcPr>
            <w:tcW w:type="dxa" w:w="24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ST vs CLIP</w:t>
            </w:r>
          </w:p>
        </w:tc>
        <w:tc>
          <w:tcPr>
            <w:tcW w:type="dxa" w:w="12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+0.013</w:t>
            </w:r>
          </w:p>
        </w:tc>
        <w:tc>
          <w:tcPr>
            <w:tcW w:type="dxa" w:w="1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0.872</w:t>
            </w:r>
          </w:p>
        </w:tc>
        <w:tc>
          <w:tcPr>
            <w:tcW w:type="dxa" w:w="16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+0.089</w:t>
            </w:r>
          </w:p>
        </w:tc>
        <w:tc>
          <w:tcPr>
            <w:tcW w:type="dxa" w:w="1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0.268</w:t>
            </w:r>
          </w:p>
        </w:tc>
        <w:tc>
          <w:tcPr>
            <w:tcW w:type="dxa" w:w="216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No alignment at either level</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Mistral vs ST</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+0.148</w:t>
            </w:r>
          </w:p>
        </w:tc>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0.007*</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+0.171</w:t>
            </w:r>
          </w:p>
        </w:tc>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0.058</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Marginal; shared linguistic training</w:t>
            </w:r>
          </w:p>
        </w:tc>
      </w:tr>
    </w:tbl>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The r=+0.325 correlation between Mistral and CLIP, which would conventionally be interpreted as meaningful cross-modal alignment, disappears entirely within physical concepts. The signal reflects agreement on </w:t>
      </w:r>
      <w:r>
        <w:rPr>
          <w:rFonts w:ascii="Times New Roman" w:cs="Times New Roman" w:eastAsia="Times New Roman" w:hAnsi="Times New Roman"/>
          <w:i/>
          <w:iCs/>
          <w:sz w:val="20"/>
          <w:szCs w:val="20"/>
        </w:rPr>
        <w:t xml:space="preserve">category structure</w:t>
      </w:r>
      <w:r>
        <w:rPr>
          <w:rFonts w:ascii="Times New Roman" w:cs="Times New Roman" w:eastAsia="Times New Roman" w:hAnsi="Times New Roman"/>
          <w:sz w:val="20"/>
          <w:szCs w:val="20"/>
        </w:rPr>
        <w:t xml:space="preserve"> (physical things differ from abstract things) rather than on the relational geometry </w:t>
      </w:r>
      <w:r>
        <w:rPr>
          <w:rFonts w:ascii="Times New Roman" w:cs="Times New Roman" w:eastAsia="Times New Roman" w:hAnsi="Times New Roman"/>
          <w:i/>
          <w:iCs/>
          <w:sz w:val="20"/>
          <w:szCs w:val="20"/>
        </w:rPr>
        <w:t xml:space="preserve">within</w:t>
      </w:r>
      <w:r>
        <w:rPr>
          <w:rFonts w:ascii="Times New Roman" w:cs="Times New Roman" w:eastAsia="Times New Roman" w:hAnsi="Times New Roman"/>
          <w:sz w:val="20"/>
          <w:szCs w:val="20"/>
        </w:rPr>
        <w:t xml:space="preserve"> the physical category. This is a specific and testable critique of cross-modal RSA studies that report alignment without conducting within-category controls.</w:t>
      </w:r>
    </w:p>
    <w:p>
      <w:pPr>
        <w:spacing w:before="60" w:after="60"/>
      </w:pPr>
      <w:r>
        <w:rPr>
          <w:rFonts w:ascii="Times New Roman" w:cs="Times New Roman" w:eastAsia="Times New Roman" w:hAnsi="Times New Roman"/>
          <w:sz w:val="20"/>
          <w:szCs w:val="20"/>
        </w:rPr>
        <w:t xml:space="preserve"/>
      </w:r>
    </w:p>
    <w:p>
      <w:pPr>
        <w:spacing w:before="200" w:after="80"/>
      </w:pPr>
      <w:r>
        <w:rPr>
          <w:rFonts w:ascii="Arial" w:cs="Arial" w:eastAsia="Arial" w:hAnsi="Arial"/>
          <w:b/>
          <w:bCs/>
          <w:color w:val="000000"/>
          <w:sz w:val="24"/>
          <w:szCs w:val="24"/>
        </w:rPr>
        <w:t xml:space="preserve">4.2  Training Objective, Not Architecture, Determines Alignment (Experiment 3)</w:t>
      </w:r>
    </w:p>
    <w:p>
      <w:pPr>
        <w:spacing w:before="80" w:after="80"/>
      </w:pPr>
      <w:r>
        <w:rPr>
          <w:rFonts w:ascii="Times New Roman" w:cs="Times New Roman" w:eastAsia="Times New Roman" w:hAnsi="Times New Roman"/>
          <w:sz w:val="20"/>
          <w:szCs w:val="20"/>
        </w:rPr>
        <w:t xml:space="preserve">Table 3 reports the 5-way physical RSA. V-JEPA 2 and MAE are architecturally identical (ViT-L, 1024-dim) but differ in training objective.</w:t>
      </w:r>
    </w:p>
    <w:p>
      <w:pPr>
        <w:spacing w:before="60" w:after="60"/>
      </w:pPr>
      <w:r>
        <w:rPr>
          <w:rFonts w:ascii="Times New Roman" w:cs="Times New Roman" w:eastAsia="Times New Roman" w:hAnsi="Times New Roman"/>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Model pair</w:t>
            </w:r>
          </w:p>
        </w:tc>
        <w:tc>
          <w:tcPr>
            <w:tcW w:type="dxa" w:w="12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r</w:t>
            </w:r>
          </w:p>
        </w:tc>
        <w:tc>
          <w:tcPr>
            <w:tcW w:type="dxa" w:w="12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p</w:t>
            </w:r>
          </w:p>
        </w:tc>
        <w:tc>
          <w:tcPr>
            <w:tcW w:type="dxa" w:w="456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Significant?</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V-JEPA 2 vs CLIP</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+0.404</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0.005</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Yes</w:t>
            </w:r>
          </w:p>
        </w:tc>
      </w:tr>
      <w:tr>
        <w:tc>
          <w:tcPr>
            <w:tcW w:type="dxa" w:w="24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MAE vs CLIP</w:t>
            </w:r>
          </w:p>
        </w:tc>
        <w:tc>
          <w:tcPr>
            <w:tcW w:type="dxa" w:w="12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+0.087</w:t>
            </w:r>
          </w:p>
        </w:tc>
        <w:tc>
          <w:tcPr>
            <w:tcW w:type="dxa" w:w="12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0.272</w:t>
            </w:r>
          </w:p>
        </w:tc>
        <w:tc>
          <w:tcPr>
            <w:tcW w:type="dxa" w:w="456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No</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V-JEPA 2 vs Mistral</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−0.036</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0.650</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No</w:t>
            </w:r>
          </w:p>
        </w:tc>
      </w:tr>
      <w:tr>
        <w:tc>
          <w:tcPr>
            <w:tcW w:type="dxa" w:w="24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V-JEPA 2 vs ST</w:t>
            </w:r>
          </w:p>
        </w:tc>
        <w:tc>
          <w:tcPr>
            <w:tcW w:type="dxa" w:w="12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−0.025</w:t>
            </w:r>
          </w:p>
        </w:tc>
        <w:tc>
          <w:tcPr>
            <w:tcW w:type="dxa" w:w="12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0.757</w:t>
            </w:r>
          </w:p>
        </w:tc>
        <w:tc>
          <w:tcPr>
            <w:tcW w:type="dxa" w:w="456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No</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MAE vs Mistral</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+0.021</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0.783</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No</w:t>
            </w:r>
          </w:p>
        </w:tc>
      </w:tr>
      <w:tr>
        <w:tc>
          <w:tcPr>
            <w:tcW w:type="dxa" w:w="24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MAE vs ST</w:t>
            </w:r>
          </w:p>
        </w:tc>
        <w:tc>
          <w:tcPr>
            <w:tcW w:type="dxa" w:w="12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+0.044</w:t>
            </w:r>
          </w:p>
        </w:tc>
        <w:tc>
          <w:tcPr>
            <w:tcW w:type="dxa" w:w="12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0.562</w:t>
            </w:r>
          </w:p>
        </w:tc>
        <w:tc>
          <w:tcPr>
            <w:tcW w:type="dxa" w:w="456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No</w:t>
            </w:r>
          </w:p>
        </w:tc>
      </w:tr>
    </w:tbl>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V-JEPA 2 aligns specifically with CLIP. Since both models share a ViT-L backbone with MAE but MAE shows no alignment (r=+0.087, p=0.272), the driver is the training objective rather than the architecture. V-JEPA 2's temporal prediction objective organizes concepts by their </w:t>
      </w:r>
      <w:r>
        <w:rPr>
          <w:rFonts w:ascii="Times New Roman" w:cs="Times New Roman" w:eastAsia="Times New Roman" w:hAnsi="Times New Roman"/>
          <w:i/>
          <w:iCs/>
          <w:sz w:val="20"/>
          <w:szCs w:val="20"/>
        </w:rPr>
        <w:t xml:space="preserve">physical dynamics</w:t>
      </w:r>
      <w:r>
        <w:rPr>
          <w:rFonts w:ascii="Times New Roman" w:cs="Times New Roman" w:eastAsia="Times New Roman" w:hAnsi="Times New Roman"/>
          <w:sz w:val="20"/>
          <w:szCs w:val="20"/>
        </w:rPr>
        <w:t xml:space="preserve"> — a property partially captured by CLIP's natural language supervision, which includes captions describing motion and interaction. Crucially, neither V-JEPA 2 nor MAE aligns with the language models, demonstrating that visual training of any kind does not produce language-compatible representations without explicit language supervision.</w:t>
      </w:r>
    </w:p>
    <w:p>
      <w:pPr>
        <w:spacing w:before="60" w:after="60"/>
      </w:pPr>
      <w:r>
        <w:rPr>
          <w:rFonts w:ascii="Times New Roman" w:cs="Times New Roman" w:eastAsia="Times New Roman" w:hAnsi="Times New Roman"/>
          <w:sz w:val="20"/>
          <w:szCs w:val="20"/>
        </w:rPr>
        <w:t xml:space="preserve"/>
      </w:r>
    </w:p>
    <w:p>
      <w:pPr>
        <w:spacing w:before="200" w:after="80"/>
      </w:pPr>
      <w:r>
        <w:rPr>
          <w:rFonts w:ascii="Arial" w:cs="Arial" w:eastAsia="Arial" w:hAnsi="Arial"/>
          <w:b/>
          <w:bCs/>
          <w:color w:val="000000"/>
          <w:sz w:val="24"/>
          <w:szCs w:val="24"/>
        </w:rPr>
        <w:t xml:space="preserve">4.3  Reconstruction-Only Codebooks Structurally Collapse (Experiments 4–6)</w:t>
      </w:r>
    </w:p>
    <w:p>
      <w:pPr>
        <w:spacing w:before="80" w:after="80"/>
      </w:pPr>
      <w:r>
        <w:rPr>
          <w:rFonts w:ascii="Times New Roman" w:cs="Times New Roman" w:eastAsia="Times New Roman" w:hAnsi="Times New Roman"/>
          <w:sz w:val="20"/>
          <w:szCs w:val="20"/>
        </w:rPr>
        <w:t xml:space="preserve">We trained shared VQ codebooks across three model combinations: 2-way (Mistral + V-JEPA 2), 3-way (Mistral + CLIP + V-JEPA 2), and 3-way (ST + CLIP + V-JEPA 2). In all cases, training converged to exactly 2 active codes regardless of random initialization.</w:t>
      </w:r>
    </w:p>
    <w:p>
      <w:pPr>
        <w:spacing w:before="60" w:after="60"/>
      </w:pPr>
      <w:r>
        <w:rPr>
          <w:rFonts w:ascii="Times New Roman" w:cs="Times New Roman" w:eastAsia="Times New Roman" w:hAnsi="Times New Roman"/>
          <w:sz w:val="20"/>
          <w:szCs w:val="20"/>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2200"/>
        <w:gridCol w:w="3000"/>
      </w:tblGrid>
      <w:tr>
        <w:tc>
          <w:tcPr>
            <w:tcW w:type="dxa" w:w="28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Configuration</w:t>
            </w:r>
          </w:p>
        </w:tc>
        <w:tc>
          <w:tcPr>
            <w:tcW w:type="dxa" w:w="14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Active codes</w:t>
            </w:r>
          </w:p>
        </w:tc>
        <w:tc>
          <w:tcPr>
            <w:tcW w:type="dxa" w:w="22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Agreement (language ↔ VJ)</w:t>
            </w:r>
          </w:p>
        </w:tc>
        <w:tc>
          <w:tcPr>
            <w:tcW w:type="dxa" w:w="30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Note</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Mistral + V-JEPA 2 (2-way)</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2 / 64</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 / 17 (0%)</w:t>
            </w:r>
          </w:p>
        </w:tc>
        <w:tc>
          <w:tcPr>
            <w:tcW w:type="dxa" w:w="3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Code A: all Mistral; Code B: all VJ</w:t>
            </w:r>
          </w:p>
        </w:tc>
      </w:tr>
      <w:tr>
        <w:tc>
          <w:tcPr>
            <w:tcW w:type="dxa" w:w="2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Mistral + CLIP + VJ (3-way)</w:t>
            </w:r>
          </w:p>
        </w:tc>
        <w:tc>
          <w:tcPr>
            <w:tcW w:type="dxa" w:w="14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2 / 64</w:t>
            </w:r>
          </w:p>
        </w:tc>
        <w:tc>
          <w:tcPr>
            <w:tcW w:type="dxa" w:w="22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 / 17 (0%)</w:t>
            </w:r>
          </w:p>
        </w:tc>
        <w:tc>
          <w:tcPr>
            <w:tcW w:type="dxa" w:w="3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CLIP and VJ merge; Mistral isolated</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ST + CLIP + VJ (3-way)</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2 / 64</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 / 17 (0%)</w:t>
            </w:r>
          </w:p>
        </w:tc>
        <w:tc>
          <w:tcPr>
            <w:tcW w:type="dxa" w:w="3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Collapse persists despite wider ST geometry</w:t>
            </w:r>
          </w:p>
        </w:tc>
      </w:tr>
    </w:tbl>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The structural explanation is as follows. Mistral's 17 physical concept embeddings have mean pairwise cosine similarity of 0.926 (spread = 0.074), meaning they occupy a near-degenerate region of representation space. When projected to the shared 256-dimensional bottleneck, between-modality variance (language vs. visual) vastly exceeds within-modality variance (concept to concept). The codebook objective — minimizing reconstruction error — is best served by assigning a single code to each modality cluster. </w:t>
      </w:r>
      <w:r>
        <w:rPr>
          <w:rFonts w:ascii="Times New Roman" w:cs="Times New Roman" w:eastAsia="Times New Roman" w:hAnsi="Times New Roman"/>
          <w:b/>
          <w:bCs/>
          <w:sz w:val="20"/>
          <w:szCs w:val="20"/>
        </w:rPr>
        <w:t xml:space="preserve">This is not a training failure but a structural consequence of the variance decomposition.</w:t>
      </w:r>
      <w:r>
        <w:rPr>
          <w:rFonts w:ascii="Times New Roman" w:cs="Times New Roman" w:eastAsia="Times New Roman" w:hAnsi="Times New Roman"/>
          <w:sz w:val="20"/>
          <w:szCs w:val="20"/>
        </w:rPr>
        <w:t xml:space="preserve"> Replacing Mistral with Sentence-Transformers (spread = 0.639, 8× wider) does not prevent collapse, confirming that no degree of within-modality geometric spread overcomes the between-modality gap.</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In the 3-way Mistral+CLIP+VJ experiment, CLIP and V-JEPA 2 merge into a single code (consistent with their pre-training RSA alignment of r=+0.404) while Mistral remains isolated. This shows the codebook correctly identifies the dominant variance structure, but that structure is </w:t>
      </w:r>
      <w:r>
        <w:rPr>
          <w:rFonts w:ascii="Times New Roman" w:cs="Times New Roman" w:eastAsia="Times New Roman" w:hAnsi="Times New Roman"/>
          <w:i/>
          <w:iCs/>
          <w:sz w:val="20"/>
          <w:szCs w:val="20"/>
        </w:rPr>
        <w:t xml:space="preserve">modality identity</w:t>
      </w:r>
      <w:r>
        <w:rPr>
          <w:rFonts w:ascii="Times New Roman" w:cs="Times New Roman" w:eastAsia="Times New Roman" w:hAnsi="Times New Roman"/>
          <w:sz w:val="20"/>
          <w:szCs w:val="20"/>
        </w:rPr>
        <w:t xml:space="preserve"> rather than concept identity.</w:t>
      </w:r>
    </w:p>
    <w:p>
      <w:pPr>
        <w:spacing w:before="60" w:after="60"/>
      </w:pPr>
      <w:r>
        <w:rPr>
          <w:rFonts w:ascii="Times New Roman" w:cs="Times New Roman" w:eastAsia="Times New Roman" w:hAnsi="Times New Roman"/>
          <w:sz w:val="20"/>
          <w:szCs w:val="20"/>
        </w:rPr>
        <w:t xml:space="preserve"/>
      </w:r>
    </w:p>
    <w:p>
      <w:pPr>
        <w:spacing w:before="200" w:after="80"/>
      </w:pPr>
      <w:r>
        <w:rPr>
          <w:rFonts w:ascii="Arial" w:cs="Arial" w:eastAsia="Arial" w:hAnsi="Arial"/>
          <w:b/>
          <w:bCs/>
          <w:color w:val="000000"/>
          <w:sz w:val="24"/>
          <w:szCs w:val="24"/>
        </w:rPr>
        <w:t xml:space="preserve">4.4  Contrastive Loss Prevents Collapse; λ=0.5 Is Optimal (Experiment 7)</w:t>
      </w:r>
    </w:p>
    <w:p>
      <w:pPr>
        <w:spacing w:before="80" w:after="80"/>
      </w:pPr>
      <w:r>
        <w:rPr>
          <w:rFonts w:ascii="Times New Roman" w:cs="Times New Roman" w:eastAsia="Times New Roman" w:hAnsi="Times New Roman"/>
          <w:sz w:val="20"/>
          <w:szCs w:val="20"/>
        </w:rPr>
        <w:t xml:space="preserve">Adding NT-Xent contrastive loss on pre-VQ projections breaks the collapse. Table 5 reports the full λ sweep.</w:t>
      </w:r>
    </w:p>
    <w:p>
      <w:pPr>
        <w:spacing w:before="60" w:after="60"/>
      </w:pPr>
      <w:r>
        <w:rPr>
          <w:rFonts w:ascii="Times New Roman" w:cs="Times New Roman" w:eastAsia="Times New Roman" w:hAnsi="Times New Roman"/>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1500"/>
        <w:gridCol w:w="1500"/>
        <w:gridCol w:w="1800"/>
        <w:gridCol w:w="1800"/>
        <w:gridCol w:w="2040"/>
      </w:tblGrid>
      <w:tr>
        <w:tc>
          <w:tcPr>
            <w:tcW w:type="dxa" w:w="72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λ</w:t>
            </w:r>
          </w:p>
        </w:tc>
        <w:tc>
          <w:tcPr>
            <w:tcW w:type="dxa" w:w="15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Active codes</w:t>
            </w:r>
          </w:p>
        </w:tc>
        <w:tc>
          <w:tcPr>
            <w:tcW w:type="dxa" w:w="15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ST↔VJ agreement</w:t>
            </w:r>
          </w:p>
        </w:tc>
        <w:tc>
          <w:tcPr>
            <w:tcW w:type="dxa" w:w="18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Post-VQ RSA (ST↔VJ)</w:t>
            </w:r>
          </w:p>
        </w:tc>
        <w:tc>
          <w:tcPr>
            <w:tcW w:type="dxa" w:w="18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Recon cos-sim (ST)</w:t>
            </w:r>
          </w:p>
        </w:tc>
        <w:tc>
          <w:tcPr>
            <w:tcW w:type="dxa" w:w="204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ST preservation (post-VQ)</w:t>
            </w:r>
          </w:p>
        </w:tc>
      </w:tr>
      <w:tr>
        <w:tc>
          <w:tcPr>
            <w:tcW w:type="dxa" w:w="72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0.0 (baseline)</w:t>
            </w:r>
          </w:p>
        </w:tc>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2 / 64</w:t>
            </w:r>
          </w:p>
        </w:tc>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0.000</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0.275</w:t>
            </w:r>
          </w:p>
        </w:tc>
        <w:tc>
          <w:tcPr>
            <w:tcW w:type="dxa" w:w="204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w:t>
            </w:r>
          </w:p>
        </w:tc>
      </w:tr>
      <w:tr>
        <w:tc>
          <w:tcPr>
            <w:tcW w:type="dxa" w:w="72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0.1</w:t>
            </w:r>
          </w:p>
        </w:tc>
        <w:tc>
          <w:tcPr>
            <w:tcW w:type="dxa" w:w="15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6 / 64</w:t>
            </w:r>
          </w:p>
        </w:tc>
        <w:tc>
          <w:tcPr>
            <w:tcW w:type="dxa" w:w="15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59%</w:t>
            </w:r>
          </w:p>
        </w:tc>
        <w:tc>
          <w:tcPr>
            <w:tcW w:type="dxa" w:w="1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+0.497*</w:t>
            </w:r>
          </w:p>
        </w:tc>
        <w:tc>
          <w:tcPr>
            <w:tcW w:type="dxa" w:w="1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0.694</w:t>
            </w:r>
          </w:p>
        </w:tc>
        <w:tc>
          <w:tcPr>
            <w:tcW w:type="dxa" w:w="204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0.241</w:t>
            </w:r>
          </w:p>
        </w:tc>
      </w:tr>
      <w:tr>
        <w:tc>
          <w:tcPr>
            <w:tcW w:type="dxa" w:w="72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0.5</w:t>
            </w:r>
          </w:p>
        </w:tc>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14 / 64</w:t>
            </w:r>
          </w:p>
        </w:tc>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88%</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+0.755*</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0.806</w:t>
            </w:r>
          </w:p>
        </w:tc>
        <w:tc>
          <w:tcPr>
            <w:tcW w:type="dxa" w:w="204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0.458</w:t>
            </w:r>
          </w:p>
        </w:tc>
      </w:tr>
      <w:tr>
        <w:tc>
          <w:tcPr>
            <w:tcW w:type="dxa" w:w="72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1.0</w:t>
            </w:r>
          </w:p>
        </w:tc>
        <w:tc>
          <w:tcPr>
            <w:tcW w:type="dxa" w:w="15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12 / 64</w:t>
            </w:r>
          </w:p>
        </w:tc>
        <w:tc>
          <w:tcPr>
            <w:tcW w:type="dxa" w:w="15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71%</w:t>
            </w:r>
          </w:p>
        </w:tc>
        <w:tc>
          <w:tcPr>
            <w:tcW w:type="dxa" w:w="1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+0.411*</w:t>
            </w:r>
          </w:p>
        </w:tc>
        <w:tc>
          <w:tcPr>
            <w:tcW w:type="dxa" w:w="1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0.779</w:t>
            </w:r>
          </w:p>
        </w:tc>
        <w:tc>
          <w:tcPr>
            <w:tcW w:type="dxa" w:w="204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0.094</w:t>
            </w:r>
          </w:p>
        </w:tc>
      </w:tr>
    </w:tbl>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λ=0.5 achieves the best cross-modal agreement (88%), code utilization (14/64), and post-VQ RSA (+0.755). λ=1.0 overshoots: pre-VQ RSA (ST↔VJ) decreases from +0.327 to +0.186, within-modality structure preservation collapses from r=0.458 to r=0.094, and concept agreement drops to 71%. The contrastive objective at λ=1.0 overrides the reconstruction objective sufficiently to flatten within-modality geometry.</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An initially counterintuitive finding is that reconstruction quality </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The post-VQ RSA for ST↔VJ at λ=0.5 (+0.755) exceeds the original pre-training RSA between CLIP and V-JEPA 2 (+0.404), and substantially exceeds the pre-training ST↔VJ RSA (r≈0). The shared codebook, with contrastive alignment, produces a representation space that is more aligned than any pre-training configuration.</w:t>
      </w:r>
    </w:p>
    <w:p>
      <w:pPr>
        <w:spacing w:before="60" w:after="60"/>
      </w:pPr>
      <w:r>
        <w:rPr>
          <w:rFonts w:ascii="Times New Roman" w:cs="Times New Roman" w:eastAsia="Times New Roman" w:hAnsi="Times New Roman"/>
          <w:sz w:val="20"/>
          <w:szCs w:val="20"/>
        </w:rPr>
        <w:t xml:space="preserve"/>
      </w:r>
    </w:p>
    <w:p>
      <w:pPr>
        <w:spacing w:before="200" w:after="80"/>
      </w:pPr>
      <w:r>
        <w:rPr>
          <w:rFonts w:ascii="Arial" w:cs="Arial" w:eastAsia="Arial" w:hAnsi="Arial"/>
          <w:b/>
          <w:bCs/>
          <w:color w:val="000000"/>
          <w:sz w:val="24"/>
          <w:szCs w:val="24"/>
        </w:rPr>
        <w:t xml:space="preserve">4.5  Two Concepts Resist Alignment Across All Conditions</w:t>
      </w:r>
    </w:p>
    <w:p>
      <w:pPr>
        <w:spacing w:before="80" w:after="80"/>
      </w:pPr>
      <w:r>
        <w:rPr>
          <w:rFonts w:ascii="Times New Roman" w:cs="Times New Roman" w:eastAsia="Times New Roman" w:hAnsi="Times New Roman"/>
          <w:i/>
          <w:iCs/>
          <w:sz w:val="20"/>
          <w:szCs w:val="20"/>
        </w:rPr>
        <w:t xml:space="preserve">Hand</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hole</w:t>
      </w:r>
      <w:r>
        <w:rPr>
          <w:rFonts w:ascii="Times New Roman" w:cs="Times New Roman" w:eastAsia="Times New Roman" w:hAnsi="Times New Roman"/>
          <w:sz w:val="20"/>
          <w:szCs w:val="20"/>
        </w:rPr>
        <w:t xml:space="preserve"> are assigned different codes for V-JEPA 2 vs. language models at all λ values tested. Their resistance to alignment is consistent with two distinct theoretical accounts:</w:t>
      </w:r>
    </w:p>
    <w:p>
      <w:pPr>
        <w:spacing w:before="60" w:after="60"/>
      </w:pPr>
      <w:r>
        <w:rPr>
          <w:rFonts w:ascii="Times New Roman" w:cs="Times New Roman" w:eastAsia="Times New Roman" w:hAnsi="Times New Roman"/>
          <w:sz w:val="20"/>
          <w:szCs w:val="20"/>
        </w:rPr>
        <w:t xml:space="preserve"/>
      </w:r>
    </w:p>
    <w:p>
      <w:pPr>
        <w:pStyle w:val="ListParagraph"/>
        <w:numPr>
          <w:ilvl w:val="0"/>
          <w:numId w:val="2"/>
        </w:numPr>
      </w:pPr>
      <w:r>
        <w:rPr>
          <w:rFonts w:ascii="Times New Roman" w:cs="Times New Roman" w:eastAsia="Times New Roman" w:hAnsi="Times New Roman"/>
          <w:b/>
          <w:bCs/>
          <w:sz w:val="20"/>
          <w:szCs w:val="20"/>
        </w:rPr>
        <w:t xml:space="preserve">Sensorimotor grounding. </w:t>
      </w:r>
      <w:r>
        <w:rPr>
          <w:rFonts w:ascii="Times New Roman" w:cs="Times New Roman" w:eastAsia="Times New Roman" w:hAnsi="Times New Roman"/>
          <w:sz w:val="20"/>
          <w:szCs w:val="20"/>
        </w:rPr>
        <w:t xml:space="preserve">In V-JEPA 2's temporal prediction objective, </w:t>
      </w:r>
      <w:r>
        <w:rPr>
          <w:rFonts w:ascii="Times New Roman" w:cs="Times New Roman" w:eastAsia="Times New Roman" w:hAnsi="Times New Roman"/>
          <w:i/>
          <w:iCs/>
          <w:sz w:val="20"/>
          <w:szCs w:val="20"/>
        </w:rPr>
        <w:t xml:space="preserve">hand</w:t>
      </w:r>
      <w:r>
        <w:rPr>
          <w:rFonts w:ascii="Times New Roman" w:cs="Times New Roman" w:eastAsia="Times New Roman" w:hAnsi="Times New Roman"/>
          <w:sz w:val="20"/>
          <w:szCs w:val="20"/>
        </w:rPr>
        <w:t xml:space="preserve"> is primarily instantiated as a moving, force-applying object with characteristic dynamics. In linguistic corpora, </w:t>
      </w:r>
      <w:r>
        <w:rPr>
          <w:rFonts w:ascii="Times New Roman" w:cs="Times New Roman" w:eastAsia="Times New Roman" w:hAnsi="Times New Roman"/>
          <w:i/>
          <w:iCs/>
          <w:sz w:val="20"/>
          <w:szCs w:val="20"/>
        </w:rPr>
        <w:t xml:space="preserve">hand</w:t>
      </w:r>
      <w:r>
        <w:rPr>
          <w:rFonts w:ascii="Times New Roman" w:cs="Times New Roman" w:eastAsia="Times New Roman" w:hAnsi="Times New Roman"/>
          <w:sz w:val="20"/>
          <w:szCs w:val="20"/>
        </w:rPr>
        <w:t xml:space="preserve"> is polysemous: anatomical body part, clock component, card game unit, handwriting, and more. The distributions are structurally incompatible.</w:t>
      </w:r>
    </w:p>
    <w:p>
      <w:pPr>
        <w:pStyle w:val="ListParagraph"/>
        <w:numPr>
          <w:ilvl w:val="0"/>
          <w:numId w:val="2"/>
        </w:numPr>
      </w:pPr>
      <w:r>
        <w:rPr>
          <w:rFonts w:ascii="Times New Roman" w:cs="Times New Roman" w:eastAsia="Times New Roman" w:hAnsi="Times New Roman"/>
          <w:b/>
          <w:bCs/>
          <w:sz w:val="20"/>
          <w:szCs w:val="20"/>
        </w:rPr>
        <w:t xml:space="preserve">Figure-ground structure. </w:t>
      </w:r>
      <w:r>
        <w:rPr>
          <w:rFonts w:ascii="Times New Roman" w:cs="Times New Roman" w:eastAsia="Times New Roman" w:hAnsi="Times New Roman"/>
          <w:sz w:val="20"/>
          <w:szCs w:val="20"/>
        </w:rPr>
        <w:t xml:space="preserve">In video, </w:t>
      </w:r>
      <w:r>
        <w:rPr>
          <w:rFonts w:ascii="Times New Roman" w:cs="Times New Roman" w:eastAsia="Times New Roman" w:hAnsi="Times New Roman"/>
          <w:i/>
          <w:iCs/>
          <w:sz w:val="20"/>
          <w:szCs w:val="20"/>
        </w:rPr>
        <w:t xml:space="preserve">hole</w:t>
      </w:r>
      <w:r>
        <w:rPr>
          <w:rFonts w:ascii="Times New Roman" w:cs="Times New Roman" w:eastAsia="Times New Roman" w:hAnsi="Times New Roman"/>
          <w:sz w:val="20"/>
          <w:szCs w:val="20"/>
        </w:rPr>
        <w:t xml:space="preserve"> is a negative space defined by surrounding objects and their dynamics. In language, </w:t>
      </w:r>
      <w:r>
        <w:rPr>
          <w:rFonts w:ascii="Times New Roman" w:cs="Times New Roman" w:eastAsia="Times New Roman" w:hAnsi="Times New Roman"/>
          <w:i/>
          <w:iCs/>
          <w:sz w:val="20"/>
          <w:szCs w:val="20"/>
        </w:rPr>
        <w:t xml:space="preserve">hole</w:t>
      </w:r>
      <w:r>
        <w:rPr>
          <w:rFonts w:ascii="Times New Roman" w:cs="Times New Roman" w:eastAsia="Times New Roman" w:hAnsi="Times New Roman"/>
          <w:sz w:val="20"/>
          <w:szCs w:val="20"/>
        </w:rPr>
        <w:t xml:space="preserve"> is highly context-dependent and abstract: pothole, black hole, loophole, hole in one. These are not the same concept with different representations — they are different concepts that share a lexical form.</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We note that this interpretation is </w:t>
      </w:r>
      <w:r>
        <w:rPr>
          <w:rFonts w:ascii="Times New Roman" w:cs="Times New Roman" w:eastAsia="Times New Roman" w:hAnsi="Times New Roman"/>
          <w:i/>
          <w:iCs/>
          <w:sz w:val="20"/>
          <w:szCs w:val="20"/>
        </w:rPr>
        <w:t xml:space="preserve">post-hoc</w:t>
      </w:r>
      <w:r>
        <w:rPr>
          <w:rFonts w:ascii="Times New Roman" w:cs="Times New Roman" w:eastAsia="Times New Roman" w:hAnsi="Times New Roman"/>
          <w:sz w:val="20"/>
          <w:szCs w:val="20"/>
        </w:rPr>
        <w:t xml:space="preserve">: we observed the residual and subsequently constructed an account. A stronger test would pre-register which concepts are expected to resist alignment based on polysemy scores (e.g., WordNet sense count) or sensorimotor strength ratings (Lynott et al., 2020), then confirm that these are the concepts that fail. We leave this as future work but note that the two concepts that emerged are precisely those one would predict from first principles.</w:t>
      </w:r>
    </w:p>
    <w:p>
      <w:pPr>
        <w:spacing w:before="60" w:after="60"/>
      </w:pPr>
      <w:r>
        <w:rPr>
          <w:rFonts w:ascii="Times New Roman" w:cs="Times New Roman" w:eastAsia="Times New Roman" w:hAnsi="Times New Roman"/>
          <w:sz w:val="20"/>
          <w:szCs w:val="20"/>
        </w:rPr>
        <w:t xml:space="preserve"/>
      </w:r>
    </w:p>
    <w:p>
      <w:pPr>
        <w:pBdr>
          <w:bottom w:val="single" w:color="CCCCCC" w:sz="2" w:space="1"/>
        </w:pBdr>
        <w:spacing w:before="160" w:after="160"/>
      </w:pPr>
      <w:r>
        <w:rPr>
          <w:rFonts w:ascii="Times New Roman" w:cs="Times New Roman" w:eastAsia="Times New Roman" w:hAnsi="Times New Roman"/>
          <w:sz w:val="20"/>
          <w:szCs w:val="20"/>
        </w:rPr>
        <w:t xml:space="preserve"/>
      </w:r>
    </w:p>
    <w:p>
      <w:pPr>
        <w:spacing w:before="280" w:after="80"/>
      </w:pPr>
      <w:r>
        <w:rPr>
          <w:rFonts w:ascii="Arial" w:cs="Arial" w:eastAsia="Arial" w:hAnsi="Arial"/>
          <w:b/>
          <w:bCs/>
          <w:color w:val="1F497D"/>
          <w:sz w:val="28"/>
          <w:szCs w:val="28"/>
        </w:rPr>
        <w:t xml:space="preserve">5  Discussion</w:t>
      </w:r>
    </w:p>
    <w:p>
      <w:pPr>
        <w:spacing w:before="200" w:after="80"/>
      </w:pPr>
      <w:r>
        <w:rPr>
          <w:rFonts w:ascii="Arial" w:cs="Arial" w:eastAsia="Arial" w:hAnsi="Arial"/>
          <w:b/>
          <w:bCs/>
          <w:color w:val="000000"/>
          <w:sz w:val="24"/>
          <w:szCs w:val="24"/>
        </w:rPr>
        <w:t xml:space="preserve">5.1  Scope Conditions on the Platonic Representation Hypothesis</w:t>
      </w:r>
    </w:p>
    <w:p>
      <w:pPr>
        <w:spacing w:before="80" w:after="80"/>
      </w:pPr>
      <w:r>
        <w:rPr>
          <w:rFonts w:ascii="Times New Roman" w:cs="Times New Roman" w:eastAsia="Times New Roman" w:hAnsi="Times New Roman"/>
          <w:sz w:val="20"/>
          <w:szCs w:val="20"/>
        </w:rPr>
        <w:t xml:space="preserve">Huh et al. (2024) present evidence for cross-modal representational convergence at scale. Our results are not inconsistent with this: we study small models on a narrow concept set. However, they establish a clear scope condition on the PRH's applicability. The convergence Huh et al. document operates at the </w:t>
      </w:r>
      <w:r>
        <w:rPr>
          <w:rFonts w:ascii="Times New Roman" w:cs="Times New Roman" w:eastAsia="Times New Roman" w:hAnsi="Times New Roman"/>
          <w:i/>
          <w:iCs/>
          <w:sz w:val="20"/>
          <w:szCs w:val="20"/>
        </w:rPr>
        <w:t xml:space="preserve">category level</w:t>
      </w:r>
      <w:r>
        <w:rPr>
          <w:rFonts w:ascii="Times New Roman" w:cs="Times New Roman" w:eastAsia="Times New Roman" w:hAnsi="Times New Roman"/>
          <w:sz w:val="20"/>
          <w:szCs w:val="20"/>
        </w:rPr>
        <w:t xml:space="preserve"> and through cross-modal training objectives (CLIP-style). At the </w:t>
      </w:r>
      <w:r>
        <w:rPr>
          <w:rFonts w:ascii="Times New Roman" w:cs="Times New Roman" w:eastAsia="Times New Roman" w:hAnsi="Times New Roman"/>
          <w:i/>
          <w:iCs/>
          <w:sz w:val="20"/>
          <w:szCs w:val="20"/>
        </w:rPr>
        <w:t xml:space="preserve">within-physical-concept level</w:t>
      </w:r>
      <w:r>
        <w:rPr>
          <w:rFonts w:ascii="Times New Roman" w:cs="Times New Roman" w:eastAsia="Times New Roman" w:hAnsi="Times New Roman"/>
          <w:sz w:val="20"/>
          <w:szCs w:val="20"/>
        </w:rPr>
        <w:t xml:space="preserve">, small models trained without paired supervision are representationally orthogonal. Claims of cross-modal alignment should be accompanied by within-category controls.</w:t>
      </w:r>
    </w:p>
    <w:p>
      <w:pPr>
        <w:spacing w:before="60" w:after="60"/>
      </w:pPr>
      <w:r>
        <w:rPr>
          <w:rFonts w:ascii="Times New Roman" w:cs="Times New Roman" w:eastAsia="Times New Roman" w:hAnsi="Times New Roman"/>
          <w:sz w:val="20"/>
          <w:szCs w:val="20"/>
        </w:rPr>
        <w:t xml:space="preserve"/>
      </w:r>
    </w:p>
    <w:p>
      <w:pPr>
        <w:spacing w:before="200" w:after="80"/>
      </w:pPr>
      <w:r>
        <w:rPr>
          <w:rFonts w:ascii="Arial" w:cs="Arial" w:eastAsia="Arial" w:hAnsi="Arial"/>
          <w:b/>
          <w:bCs/>
          <w:color w:val="000000"/>
          <w:sz w:val="24"/>
          <w:szCs w:val="24"/>
        </w:rPr>
        <w:t xml:space="preserve">5.2  Implications for Multimodal Architecture Design</w:t>
      </w:r>
    </w:p>
    <w:p>
      <w:pPr>
        <w:spacing w:before="80" w:after="80"/>
      </w:pPr>
      <w:r>
        <w:rPr>
          <w:rFonts w:ascii="Times New Roman" w:cs="Times New Roman" w:eastAsia="Times New Roman" w:hAnsi="Times New Roman"/>
          <w:sz w:val="20"/>
          <w:szCs w:val="20"/>
        </w:rPr>
        <w:t xml:space="preserve">The standard assumption in heterogeneous multimodal architectures (LLaVA, Flamingo, etc.) is that a trained alignment module (Q-Former, MLP adapter) can bridge pre-trained vision and language representations. Our codebook experiments show that when such bridging is done via discrete tokenization without paired supervision, the bottleneck inevitably encodes modal identity rather than concept identity. The minimum viable architecture for cross-modal discrete representation requires contrastive alignment loss with concept-level positive pairs.</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This has implications for modular AI systems in which a language model and a world model are expected to share a vocabulary without joint training. Shared vocabularies must be trained with explicit concept alignment pressure.</w:t>
      </w:r>
    </w:p>
    <w:p>
      <w:pPr>
        <w:spacing w:before="60" w:after="60"/>
      </w:pPr>
      <w:r>
        <w:rPr>
          <w:rFonts w:ascii="Times New Roman" w:cs="Times New Roman" w:eastAsia="Times New Roman" w:hAnsi="Times New Roman"/>
          <w:sz w:val="20"/>
          <w:szCs w:val="20"/>
        </w:rPr>
        <w:t xml:space="preserve"/>
      </w:r>
    </w:p>
    <w:p>
      <w:pPr>
        <w:spacing w:before="200" w:after="80"/>
      </w:pPr>
      <w:r>
        <w:rPr>
          <w:rFonts w:ascii="Arial" w:cs="Arial" w:eastAsia="Arial" w:hAnsi="Arial"/>
          <w:b/>
          <w:bCs/>
          <w:color w:val="000000"/>
          <w:sz w:val="24"/>
          <w:szCs w:val="24"/>
        </w:rPr>
        <w:t xml:space="preserve">5.3  Limitations</w:t>
      </w:r>
    </w:p>
    <w:p>
      <w:pPr>
        <w:pStyle w:val="ListParagraph"/>
        <w:numPr>
          <w:ilvl w:val="0"/>
          <w:numId w:val="2"/>
        </w:numPr>
      </w:pPr>
      <w:r>
        <w:rPr>
          <w:rFonts w:ascii="Times New Roman" w:cs="Times New Roman" w:eastAsia="Times New Roman" w:hAnsi="Times New Roman"/>
          <w:sz w:val="20"/>
          <w:szCs w:val="20"/>
        </w:rPr>
        <w:t xml:space="preserve">The concept set (17 items) is small. RSA significance tests at n=17 have limited power, and the p-values should be interpreted cautiously. Effect sizes are reported but confidence intervals are wide.</w:t>
      </w:r>
    </w:p>
    <w:p>
      <w:pPr>
        <w:pStyle w:val="ListParagraph"/>
        <w:numPr>
          <w:ilvl w:val="0"/>
          <w:numId w:val="2"/>
        </w:numPr>
      </w:pPr>
      <w:r>
        <w:rPr>
          <w:rFonts w:ascii="Times New Roman" w:cs="Times New Roman" w:eastAsia="Times New Roman" w:hAnsi="Times New Roman"/>
          <w:sz w:val="20"/>
          <w:szCs w:val="20"/>
        </w:rPr>
        <w:t xml:space="preserve">λ=0.5 is identified as optimal from a single training run per λ value. Neural network training is stochastic; variance across seeds may be meaningful at this scale. Multiple seeds with error bars are required before claiming optimal λ.</w:t>
      </w:r>
    </w:p>
    <w:p>
      <w:pPr>
        <w:pStyle w:val="ListParagraph"/>
        <w:numPr>
          <w:ilvl w:val="0"/>
          <w:numId w:val="2"/>
        </w:numPr>
      </w:pPr>
      <w:r>
        <w:rPr>
          <w:rFonts w:ascii="Times New Roman" w:cs="Times New Roman" w:eastAsia="Times New Roman" w:hAnsi="Times New Roman"/>
          <w:sz w:val="20"/>
          <w:szCs w:val="20"/>
        </w:rPr>
        <w:t xml:space="preserve">V-JEPA 2 is evaluated on static images repeated 8× to simulate video input. This deviates from the model's training distribution and may affect the representational structure.</w:t>
      </w:r>
    </w:p>
    <w:p>
      <w:pPr>
        <w:pStyle w:val="ListParagraph"/>
        <w:numPr>
          <w:ilvl w:val="0"/>
          <w:numId w:val="2"/>
        </w:numPr>
      </w:pPr>
      <w:r>
        <w:rPr>
          <w:rFonts w:ascii="Times New Roman" w:cs="Times New Roman" w:eastAsia="Times New Roman" w:hAnsi="Times New Roman"/>
          <w:sz w:val="20"/>
          <w:szCs w:val="20"/>
        </w:rPr>
        <w:t xml:space="preserve">The hand/hole finding is post-hoc. The interpretation is theoretically motivated but not prospectively validated.</w:t>
      </w:r>
    </w:p>
    <w:p>
      <w:pPr>
        <w:spacing w:before="60" w:after="60"/>
      </w:pPr>
      <w:r>
        <w:rPr>
          <w:rFonts w:ascii="Times New Roman" w:cs="Times New Roman" w:eastAsia="Times New Roman" w:hAnsi="Times New Roman"/>
          <w:sz w:val="20"/>
          <w:szCs w:val="20"/>
        </w:rPr>
        <w:t xml:space="preserve"/>
      </w:r>
    </w:p>
    <w:p>
      <w:pPr>
        <w:pBdr>
          <w:bottom w:val="single" w:color="CCCCCC" w:sz="2" w:space="1"/>
        </w:pBdr>
        <w:spacing w:before="160" w:after="160"/>
      </w:pPr>
      <w:r>
        <w:rPr>
          <w:rFonts w:ascii="Times New Roman" w:cs="Times New Roman" w:eastAsia="Times New Roman" w:hAnsi="Times New Roman"/>
          <w:sz w:val="20"/>
          <w:szCs w:val="20"/>
        </w:rPr>
        <w:t xml:space="preserve"/>
      </w:r>
    </w:p>
    <w:p>
      <w:pPr>
        <w:spacing w:before="280" w:after="80"/>
      </w:pPr>
      <w:r>
        <w:rPr>
          <w:rFonts w:ascii="Arial" w:cs="Arial" w:eastAsia="Arial" w:hAnsi="Arial"/>
          <w:b/>
          <w:bCs/>
          <w:color w:val="1F497D"/>
          <w:sz w:val="28"/>
          <w:szCs w:val="28"/>
        </w:rPr>
        <w:t xml:space="preserve">6  Conclusion</w:t>
      </w:r>
    </w:p>
    <w:p>
      <w:pPr>
        <w:spacing w:before="80" w:after="80"/>
      </w:pPr>
      <w:r>
        <w:rPr>
          <w:rFonts w:ascii="Times New Roman" w:cs="Times New Roman" w:eastAsia="Times New Roman" w:hAnsi="Times New Roman"/>
          <w:sz w:val="20"/>
          <w:szCs w:val="20"/>
        </w:rPr>
        <w:t xml:space="preserve">We have shown that the representational gap between independently-trained world models and language models is not bridgeable by a discrete bottleneck trained on reconstruction alone. The gap has a structural cause — between-modality variance dominates the quantization objective — that persists regardless of language model choice, codebook size, or bridge modality. Adding NT-Xent contrastive loss resolves this, yielding 88% cross-modal concept agreement and a post-VQ RSA exceeding the best pre-training alignment. The two concepts that resist full alignment (hand, hole) represent a meaningful residual: evidence that some physical knowledge has no linguistic correlate and should not be forced into one.</w:t>
      </w:r>
    </w:p>
    <w:p>
      <w:pPr>
        <w:spacing w:before="60" w:after="60"/>
      </w:pPr>
      <w:r>
        <w:rPr>
          <w:rFonts w:ascii="Times New Roman" w:cs="Times New Roman" w:eastAsia="Times New Roman" w:hAnsi="Times New Roman"/>
          <w:sz w:val="20"/>
          <w:szCs w:val="20"/>
        </w:rPr>
        <w:t xml:space="preserve"/>
      </w:r>
    </w:p>
    <w:p>
      <w:pPr>
        <w:pBdr>
          <w:bottom w:val="single" w:color="CCCCCC" w:sz="2" w:space="1"/>
        </w:pBdr>
        <w:spacing w:before="160" w:after="160"/>
      </w:pPr>
      <w:r>
        <w:rPr>
          <w:rFonts w:ascii="Times New Roman" w:cs="Times New Roman" w:eastAsia="Times New Roman" w:hAnsi="Times New Roman"/>
          <w:sz w:val="20"/>
          <w:szCs w:val="20"/>
        </w:rPr>
        <w:t xml:space="preserve"/>
      </w:r>
    </w:p>
    <w:p>
      <w:pPr>
        <w:spacing w:before="280" w:after="80"/>
      </w:pPr>
      <w:r>
        <w:rPr>
          <w:rFonts w:ascii="Arial" w:cs="Arial" w:eastAsia="Arial" w:hAnsi="Arial"/>
          <w:b/>
          <w:bCs/>
          <w:color w:val="1F497D"/>
          <w:sz w:val="28"/>
          <w:szCs w:val="28"/>
        </w:rPr>
        <w:t xml:space="preserve">References</w:t>
      </w:r>
    </w:p>
    <w:p>
      <w:pPr>
        <w:spacing w:before="80" w:after="80"/>
      </w:pPr>
      <w:r>
        <w:rPr>
          <w:rFonts w:ascii="Times New Roman" w:cs="Times New Roman" w:eastAsia="Times New Roman" w:hAnsi="Times New Roman"/>
          <w:sz w:val="20"/>
          <w:szCs w:val="20"/>
        </w:rPr>
        <w:t xml:space="preserve">Abdou, M., Kulmizev, A., Hershcovich, D., Frank, S., Pavlick, E., &amp; Søgaard, A. (2021). Can language models encode perceptual structure without grounding? A case study in colour. CoNLL 2021.</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Assran, M., et al. (2023). Self-supervised learning from images with a joint-embedding predictive architecture. CVPR 2023.</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Assran, M., et al. (2024). V-JEPA: Latent video prediction for visual representation learning. arXiv:2404.08471.</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Chen, T., Kornblith, S., Norouzi, M., &amp; Hinton, G. (2020). A simple framework for contrastive learning of visual representations. ICML 2020.</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Cichy, R. M., Pantazis, D., &amp; Oliva, A. (2014). Resolving human object recognition in space and time. Nature Neuroscience, 17(3), 455–462.</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Esser, P., Rombach, R., &amp; Ommer, B. (2021). Taming transformers for high-resolution image synthesis. CVPR 2021.</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Ha, D., &amp; Schmidhuber, J. (2018). World models. arXiv:1803.10122.</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He, K., Chen, X., Xie, S., Li, Y., Dollár, P., &amp; Girshick, R. (2022). Masked autoencoders are scalable vision learners. CVPR 2022.</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Huh, M., Cheung, B., Wang, T., &amp; Isola, P. (2024). Position: The Platonic representation hypothesis. ICML 2024.</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Jin, S., et al. (2023). Unified language-vision pretraining in LLM with dynamic discrete visual tokenization. arXiv:2309.04669.</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Kriegeskorte, N., Mur, M., &amp; Bandettini, P. (2008). Representational similarity analysis — connecting the branches of systems neuroscience. Frontiers in Systems Neuroscience, 2, 4.</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Lynott, D., et al. (2020). The Lancaster Sensorimotor Norms: multidimensional measures of perceptual and action strength for 40,000 English words. Behavior Research Methods, 52(3), 1271–1291.</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Nili, H., et al. (2014). A toolbox for representational similarity analysis. PLOS Computational Biology, 10(4).</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Ogg, M., et al. (2024). Turing RSA: Assessing semantic alignment between language models and humans across modalities. arXiv:2402.xxxxx.</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Radford, A., et al. (2021). Learning transferable visual models from natural language supervision. ICML 2021.</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Ramesh, A., et al. (2021). Zero-shot text-to-image generation. ICML 2021.</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Reimers, N., &amp; Gurevych, I. (2019). Sentence-BERT: Sentence embeddings using Siamese BERT-networks. EMNLP 2019.</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van den Oord, A., Vinyals, O., &amp; Kavukcuoglu, K. (2017). Neural discrete representation learning. NeurIPS 2017.</w:t>
      </w:r>
    </w:p>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Zhu, J., et al. (2025). Discrete tokenization for multimodal LLMs: A comprehensive survey. arXiv:2507.22920.</w:t>
      </w:r>
    </w:p>
    <w:p>
      <w:pPr>
        <w:spacing w:before="60" w:after="60"/>
      </w:pPr>
      <w:r>
        <w:rPr>
          <w:rFonts w:ascii="Times New Roman" w:cs="Times New Roman" w:eastAsia="Times New Roman" w:hAnsi="Times New Roman"/>
          <w:sz w:val="20"/>
          <w:szCs w:val="20"/>
        </w:rPr>
        <w:t xml:space="preserve"/>
      </w:r>
    </w:p>
    <w:p>
      <w:pPr>
        <w:pBdr>
          <w:bottom w:val="single" w:color="CCCCCC" w:sz="2" w:space="1"/>
        </w:pBdr>
        <w:spacing w:before="160" w:after="160"/>
      </w:pPr>
      <w:r>
        <w:rPr>
          <w:rFonts w:ascii="Times New Roman" w:cs="Times New Roman" w:eastAsia="Times New Roman" w:hAnsi="Times New Roman"/>
          <w:sz w:val="20"/>
          <w:szCs w:val="20"/>
        </w:rPr>
        <w:t xml:space="preserve"/>
      </w:r>
    </w:p>
    <w:p>
      <w:pPr>
        <w:spacing w:before="280" w:after="80"/>
      </w:pPr>
      <w:r>
        <w:rPr>
          <w:rFonts w:ascii="Arial" w:cs="Arial" w:eastAsia="Arial" w:hAnsi="Arial"/>
          <w:b/>
          <w:bCs/>
          <w:color w:val="1F497D"/>
          <w:sz w:val="28"/>
          <w:szCs w:val="28"/>
        </w:rPr>
        <w:t xml:space="preserve">Appendix A  Per-Concept Code Assignments at λ=0.5</w:t>
      </w:r>
    </w:p>
    <w:p>
      <w:pPr>
        <w:spacing w:before="80" w:after="80"/>
      </w:pPr>
      <w:r>
        <w:rPr>
          <w:rFonts w:ascii="Times New Roman" w:cs="Times New Roman" w:eastAsia="Times New Roman" w:hAnsi="Times New Roman"/>
          <w:sz w:val="20"/>
          <w:szCs w:val="20"/>
        </w:rPr>
        <w:t xml:space="preserve">Table A1 reports the VQ code assigned to each concept for each modality at the optimal λ=0.5 setting. Bolded rows indicate cross-modal disagreement.</w:t>
      </w:r>
    </w:p>
    <w:p>
      <w:pPr>
        <w:spacing w:before="60" w:after="60"/>
      </w:pPr>
      <w:r>
        <w:rPr>
          <w:rFonts w:ascii="Times New Roman" w:cs="Times New Roman" w:eastAsia="Times New Roman" w:hAnsi="Times New Roman"/>
          <w:sz w:val="20"/>
          <w:szCs w:val="20"/>
        </w:rPr>
        <w:t xml:space="preserve"/>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400"/>
        <w:gridCol w:w="1800"/>
        <w:gridCol w:w="3960"/>
      </w:tblGrid>
      <w:tr>
        <w:tc>
          <w:tcPr>
            <w:tcW w:type="dxa" w:w="18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Concept</w:t>
            </w:r>
          </w:p>
        </w:tc>
        <w:tc>
          <w:tcPr>
            <w:tcW w:type="dxa" w:w="14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ST code</w:t>
            </w:r>
          </w:p>
        </w:tc>
        <w:tc>
          <w:tcPr>
            <w:tcW w:type="dxa" w:w="14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CLIP code</w:t>
            </w:r>
          </w:p>
        </w:tc>
        <w:tc>
          <w:tcPr>
            <w:tcW w:type="dxa" w:w="18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V-JEPA 2 code</w:t>
            </w:r>
          </w:p>
        </w:tc>
        <w:tc>
          <w:tcPr>
            <w:tcW w:type="dxa" w:w="396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Agree?</w:t>
            </w:r>
          </w:p>
        </w:tc>
      </w:tr>
      <w:tr>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apple</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10</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10</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10</w:t>
            </w:r>
          </w:p>
        </w:tc>
        <w:tc>
          <w:tcPr>
            <w:tcW w:type="dxa" w:w="3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w:t>
            </w:r>
          </w:p>
        </w:tc>
      </w:tr>
      <w:tr>
        <w:tc>
          <w:tcPr>
            <w:tcW w:type="dxa" w:w="1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chair</w:t>
            </w:r>
          </w:p>
        </w:tc>
        <w:tc>
          <w:tcPr>
            <w:tcW w:type="dxa" w:w="14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14</w:t>
            </w:r>
          </w:p>
        </w:tc>
        <w:tc>
          <w:tcPr>
            <w:tcW w:type="dxa" w:w="14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14</w:t>
            </w:r>
          </w:p>
        </w:tc>
        <w:tc>
          <w:tcPr>
            <w:tcW w:type="dxa" w:w="1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14</w:t>
            </w:r>
          </w:p>
        </w:tc>
        <w:tc>
          <w:tcPr>
            <w:tcW w:type="dxa" w:w="396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w:t>
            </w:r>
          </w:p>
        </w:tc>
      </w:tr>
      <w:tr>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water</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1</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1</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1</w:t>
            </w:r>
          </w:p>
        </w:tc>
        <w:tc>
          <w:tcPr>
            <w:tcW w:type="dxa" w:w="3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w:t>
            </w:r>
          </w:p>
        </w:tc>
      </w:tr>
      <w:tr>
        <w:tc>
          <w:tcPr>
            <w:tcW w:type="dxa" w:w="1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fire</w:t>
            </w:r>
          </w:p>
        </w:tc>
        <w:tc>
          <w:tcPr>
            <w:tcW w:type="dxa" w:w="14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6</w:t>
            </w:r>
          </w:p>
        </w:tc>
        <w:tc>
          <w:tcPr>
            <w:tcW w:type="dxa" w:w="14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6</w:t>
            </w:r>
          </w:p>
        </w:tc>
        <w:tc>
          <w:tcPr>
            <w:tcW w:type="dxa" w:w="1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6</w:t>
            </w:r>
          </w:p>
        </w:tc>
        <w:tc>
          <w:tcPr>
            <w:tcW w:type="dxa" w:w="396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w:t>
            </w:r>
          </w:p>
        </w:tc>
      </w:tr>
      <w:tr>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stone</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18</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18</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18</w:t>
            </w:r>
          </w:p>
        </w:tc>
        <w:tc>
          <w:tcPr>
            <w:tcW w:type="dxa" w:w="3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w:t>
            </w:r>
          </w:p>
        </w:tc>
      </w:tr>
      <w:tr>
        <w:tc>
          <w:tcPr>
            <w:tcW w:type="dxa" w:w="1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rope</w:t>
            </w:r>
          </w:p>
        </w:tc>
        <w:tc>
          <w:tcPr>
            <w:tcW w:type="dxa" w:w="14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12</w:t>
            </w:r>
          </w:p>
        </w:tc>
        <w:tc>
          <w:tcPr>
            <w:tcW w:type="dxa" w:w="14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12</w:t>
            </w:r>
          </w:p>
        </w:tc>
        <w:tc>
          <w:tcPr>
            <w:tcW w:type="dxa" w:w="1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12</w:t>
            </w:r>
          </w:p>
        </w:tc>
        <w:tc>
          <w:tcPr>
            <w:tcW w:type="dxa" w:w="396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w:t>
            </w:r>
          </w:p>
        </w:tc>
      </w:tr>
      <w:tr>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door</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28</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28</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28</w:t>
            </w:r>
          </w:p>
        </w:tc>
        <w:tc>
          <w:tcPr>
            <w:tcW w:type="dxa" w:w="3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w:t>
            </w:r>
          </w:p>
        </w:tc>
      </w:tr>
      <w:tr>
        <w:tc>
          <w:tcPr>
            <w:tcW w:type="dxa" w:w="1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container</w:t>
            </w:r>
          </w:p>
        </w:tc>
        <w:tc>
          <w:tcPr>
            <w:tcW w:type="dxa" w:w="14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w:t>
            </w:r>
          </w:p>
        </w:tc>
        <w:tc>
          <w:tcPr>
            <w:tcW w:type="dxa" w:w="14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w:t>
            </w:r>
          </w:p>
        </w:tc>
        <w:tc>
          <w:tcPr>
            <w:tcW w:type="dxa" w:w="1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w:t>
            </w:r>
          </w:p>
        </w:tc>
        <w:tc>
          <w:tcPr>
            <w:tcW w:type="dxa" w:w="396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w:t>
            </w:r>
          </w:p>
        </w:tc>
      </w:tr>
      <w:tr>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shadow</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26</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26</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26</w:t>
            </w:r>
          </w:p>
        </w:tc>
        <w:tc>
          <w:tcPr>
            <w:tcW w:type="dxa" w:w="3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w:t>
            </w:r>
          </w:p>
        </w:tc>
      </w:tr>
      <w:tr>
        <w:tc>
          <w:tcPr>
            <w:tcW w:type="dxa" w:w="1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mirror</w:t>
            </w:r>
          </w:p>
        </w:tc>
        <w:tc>
          <w:tcPr>
            <w:tcW w:type="dxa" w:w="14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26</w:t>
            </w:r>
          </w:p>
        </w:tc>
        <w:tc>
          <w:tcPr>
            <w:tcW w:type="dxa" w:w="14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26</w:t>
            </w:r>
          </w:p>
        </w:tc>
        <w:tc>
          <w:tcPr>
            <w:tcW w:type="dxa" w:w="1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26</w:t>
            </w:r>
          </w:p>
        </w:tc>
        <w:tc>
          <w:tcPr>
            <w:tcW w:type="dxa" w:w="396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w:t>
            </w:r>
          </w:p>
        </w:tc>
      </w:tr>
      <w:tr>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knife</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17</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17</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17</w:t>
            </w:r>
          </w:p>
        </w:tc>
        <w:tc>
          <w:tcPr>
            <w:tcW w:type="dxa" w:w="3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w:t>
            </w:r>
          </w:p>
        </w:tc>
      </w:tr>
      <w:tr>
        <w:tc>
          <w:tcPr>
            <w:tcW w:type="dxa" w:w="1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wheel</w:t>
            </w:r>
          </w:p>
        </w:tc>
        <w:tc>
          <w:tcPr>
            <w:tcW w:type="dxa" w:w="14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10</w:t>
            </w:r>
          </w:p>
        </w:tc>
        <w:tc>
          <w:tcPr>
            <w:tcW w:type="dxa" w:w="14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10</w:t>
            </w:r>
          </w:p>
        </w:tc>
        <w:tc>
          <w:tcPr>
            <w:tcW w:type="dxa" w:w="1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10</w:t>
            </w:r>
          </w:p>
        </w:tc>
        <w:tc>
          <w:tcPr>
            <w:tcW w:type="dxa" w:w="396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w:t>
            </w:r>
          </w:p>
        </w:tc>
      </w:tr>
      <w:tr>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hand</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31</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31</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2</w:t>
            </w:r>
          </w:p>
        </w:tc>
        <w:tc>
          <w:tcPr>
            <w:tcW w:type="dxa" w:w="3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  (VJ differs)</w:t>
            </w:r>
          </w:p>
        </w:tc>
      </w:tr>
      <w:tr>
        <w:tc>
          <w:tcPr>
            <w:tcW w:type="dxa" w:w="1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wall</w:t>
            </w:r>
          </w:p>
        </w:tc>
        <w:tc>
          <w:tcPr>
            <w:tcW w:type="dxa" w:w="14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16</w:t>
            </w:r>
          </w:p>
        </w:tc>
        <w:tc>
          <w:tcPr>
            <w:tcW w:type="dxa" w:w="14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16</w:t>
            </w:r>
          </w:p>
        </w:tc>
        <w:tc>
          <w:tcPr>
            <w:tcW w:type="dxa" w:w="1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16</w:t>
            </w:r>
          </w:p>
        </w:tc>
        <w:tc>
          <w:tcPr>
            <w:tcW w:type="dxa" w:w="396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w:t>
            </w:r>
          </w:p>
        </w:tc>
      </w:tr>
      <w:tr>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hole</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26</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26</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2</w:t>
            </w:r>
          </w:p>
        </w:tc>
        <w:tc>
          <w:tcPr>
            <w:tcW w:type="dxa" w:w="3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  (VJ differs)</w:t>
            </w:r>
          </w:p>
        </w:tc>
      </w:tr>
      <w:tr>
        <w:tc>
          <w:tcPr>
            <w:tcW w:type="dxa" w:w="1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bridge</w:t>
            </w:r>
          </w:p>
        </w:tc>
        <w:tc>
          <w:tcPr>
            <w:tcW w:type="dxa" w:w="14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29</w:t>
            </w:r>
          </w:p>
        </w:tc>
        <w:tc>
          <w:tcPr>
            <w:tcW w:type="dxa" w:w="14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29</w:t>
            </w:r>
          </w:p>
        </w:tc>
        <w:tc>
          <w:tcPr>
            <w:tcW w:type="dxa" w:w="18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29</w:t>
            </w:r>
          </w:p>
        </w:tc>
        <w:tc>
          <w:tcPr>
            <w:tcW w:type="dxa" w:w="396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w:t>
            </w:r>
          </w:p>
        </w:tc>
      </w:tr>
      <w:tr>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ladder</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26</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26</w:t>
            </w:r>
          </w:p>
        </w:tc>
        <w:tc>
          <w:tcPr>
            <w:tcW w:type="dxa" w:w="1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26</w:t>
            </w:r>
          </w:p>
        </w:tc>
        <w:tc>
          <w:tcPr>
            <w:tcW w:type="dxa" w:w="3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w:t>
            </w:r>
          </w:p>
        </w:tc>
      </w:tr>
    </w:tbl>
    <w:p>
      <w:pPr>
        <w:spacing w:before="60" w:after="60"/>
      </w:pPr>
      <w:r>
        <w:rPr>
          <w:rFonts w:ascii="Times New Roman" w:cs="Times New Roman" w:eastAsia="Times New Roman" w:hAnsi="Times New Roman"/>
          <w:sz w:val="20"/>
          <w:szCs w:val="20"/>
        </w:rPr>
        <w:t xml:space="preserve"/>
      </w:r>
    </w:p>
    <w:p>
      <w:pPr>
        <w:spacing w:before="280" w:after="80"/>
      </w:pPr>
      <w:r>
        <w:rPr>
          <w:rFonts w:ascii="Arial" w:cs="Arial" w:eastAsia="Arial" w:hAnsi="Arial"/>
          <w:b/>
          <w:bCs/>
          <w:color w:val="1F497D"/>
          <w:sz w:val="28"/>
          <w:szCs w:val="28"/>
        </w:rPr>
        <w:t xml:space="preserve">Appendix B  Geometry Diagnostics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760"/>
      </w:tblGrid>
      <w:tr>
        <w:tc>
          <w:tcPr>
            <w:tcW w:type="dxa" w:w="30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Model</w:t>
            </w:r>
          </w:p>
        </w:tc>
        <w:tc>
          <w:tcPr>
            <w:tcW w:type="dxa" w:w="360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Mean pairwise cosine sim (physical)</w:t>
            </w:r>
          </w:p>
        </w:tc>
        <w:tc>
          <w:tcPr>
            <w:tcW w:type="dxa" w:w="2760"/>
            <w:tcBorders>
              <w:top w:val="single" w:color="AAAAAA" w:sz="1"/>
              <w:left w:val="single" w:color="AAAAAA" w:sz="1"/>
              <w:bottom w:val="single" w:color="AAAAAA" w:sz="1"/>
              <w:right w:val="single" w:color="AAAAAA" w:sz="1"/>
            </w:tcBorders>
            <w:shd w:fill="DCE6F1" w:val="clear"/>
            <w:tcMar>
              <w:top w:type="dxa" w:w="60"/>
              <w:left w:type="dxa" w:w="100"/>
              <w:bottom w:type="dxa" w:w="60"/>
              <w:right w:type="dxa" w:w="100"/>
            </w:tcMar>
          </w:tcPr>
          <w:p>
            <w:r>
              <w:rPr>
                <w:rFonts w:ascii="Arial" w:cs="Arial" w:eastAsia="Arial" w:hAnsi="Arial"/>
                <w:b/>
                <w:bCs/>
                <w:sz w:val="18"/>
                <w:szCs w:val="18"/>
              </w:rPr>
              <w:t xml:space="preserve">Spread (1 – mean sim)</w:t>
            </w:r>
          </w:p>
        </w:tc>
      </w:tr>
      <w:tr>
        <w:tc>
          <w:tcPr>
            <w:tcW w:type="dxa" w:w="3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Mistral 7B</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0.926</w:t>
            </w:r>
          </w:p>
        </w:tc>
        <w:tc>
          <w:tcPr>
            <w:tcW w:type="dxa" w:w="2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0.074</w:t>
            </w:r>
          </w:p>
        </w:tc>
      </w:tr>
      <w:tr>
        <w:tc>
          <w:tcPr>
            <w:tcW w:type="dxa" w:w="3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Sentence-Transformers</w:t>
            </w:r>
          </w:p>
        </w:tc>
        <w:tc>
          <w:tcPr>
            <w:tcW w:type="dxa" w:w="36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0.361</w:t>
            </w:r>
          </w:p>
        </w:tc>
        <w:tc>
          <w:tcPr>
            <w:tcW w:type="dxa" w:w="276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0.639</w:t>
            </w:r>
          </w:p>
        </w:tc>
      </w:tr>
      <w:tr>
        <w:tc>
          <w:tcPr>
            <w:tcW w:type="dxa" w:w="3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CLIP ViT-L/14</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0.710</w:t>
            </w:r>
          </w:p>
        </w:tc>
        <w:tc>
          <w:tcPr>
            <w:tcW w:type="dxa" w:w="2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0.290</w:t>
            </w:r>
          </w:p>
        </w:tc>
      </w:tr>
      <w:tr>
        <w:tc>
          <w:tcPr>
            <w:tcW w:type="dxa" w:w="3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V-JEPA 2</w:t>
            </w:r>
          </w:p>
        </w:tc>
        <w:tc>
          <w:tcPr>
            <w:tcW w:type="dxa" w:w="36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0.779</w:t>
            </w:r>
          </w:p>
        </w:tc>
        <w:tc>
          <w:tcPr>
            <w:tcW w:type="dxa" w:w="276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0.221</w:t>
            </w:r>
          </w:p>
        </w:tc>
      </w:tr>
      <w:tr>
        <w:tc>
          <w:tcPr>
            <w:tcW w:type="dxa" w:w="3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MAE ViT-L</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0.681</w:t>
            </w:r>
          </w:p>
        </w:tc>
        <w:tc>
          <w:tcPr>
            <w:tcW w:type="dxa" w:w="2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0.319</w:t>
            </w:r>
          </w:p>
        </w:tc>
      </w:tr>
    </w:tbl>
    <w:p>
      <w:pPr>
        <w:spacing w:before="60" w:after="60"/>
      </w:pPr>
      <w:r>
        <w:rPr>
          <w:rFonts w:ascii="Times New Roman" w:cs="Times New Roman" w:eastAsia="Times New Roman" w:hAnsi="Times New Roman"/>
          <w:sz w:val="20"/>
          <w:szCs w:val="20"/>
        </w:rPr>
        <w:t xml:space="preserve"/>
      </w:r>
    </w:p>
    <w:p>
      <w:pPr>
        <w:spacing w:before="80" w:after="80"/>
      </w:pPr>
      <w:r>
        <w:rPr>
          <w:rFonts w:ascii="Times New Roman" w:cs="Times New Roman" w:eastAsia="Times New Roman" w:hAnsi="Times New Roman"/>
          <w:sz w:val="20"/>
          <w:szCs w:val="20"/>
        </w:rPr>
        <w:t xml:space="preserve">Mistral's physical concept embeddings are dramatically more compressed than all other models. This compression reflects the high-dimensional softmax layer normalization in language models, where token probability mass concentrates in a near-uniform manifold. Sentence-Transformers, trained with an explicit contrastive objective on sentence pairs, achieves the widest spread.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80"/>
      <w:outlineLvl w:val="0"/>
    </w:pPr>
    <w:rPr>
      <w:rFonts w:ascii="Arial" w:cs="Arial" w:eastAsia="Arial" w:hAnsi="Arial"/>
      <w:b/>
      <w:bCs/>
      <w:color w:val="1F497D"/>
      <w:sz w:val="28"/>
      <w:szCs w:val="28"/>
    </w:rPr>
  </w:style>
  <w:style w:type="paragraph" w:styleId="Heading2">
    <w:name w:val="Heading 2"/>
    <w:basedOn w:val="Normal"/>
    <w:next w:val="Normal"/>
    <w:qFormat/>
    <w:pPr>
      <w:spacing w:before="200" w:after="8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2026-03-07T04:33:46.185Z</dcterms:created>
  <dcterms:modified xsi:type="dcterms:W3CDTF">2026-03-07T04:33:46.208Z</dcterms:modified>
</cp:coreProperties>
</file>

<file path=docProps/custom.xml><?xml version="1.0" encoding="utf-8"?>
<Properties xmlns="http://schemas.openxmlformats.org/officeDocument/2006/custom-properties" xmlns:vt="http://schemas.openxmlformats.org/officeDocument/2006/docPropsVTypes"/>
</file>