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Georgia" w:cs="Georgia" w:eastAsia="Georgia" w:hAnsi="Georgia"/>
          <w:b/>
          <w:bCs/>
          <w:sz w:val="40"/>
          <w:szCs w:val="40"/>
        </w:rPr>
        <w:t xml:space="preserve">Static Image Reconstruction Is Uniquely Aligned with Language Models: Evidence from a 2×2 Visual Encoder Design</w:t>
      </w:r>
    </w:p>
    <w:p>
      <w:pPr>
        <w:spacing w:after="100"/>
      </w:pPr>
      <w:r>
        <w:rPr>
          <w:rFonts w:ascii="Arial" w:cs="Arial" w:eastAsia="Arial" w:hAnsi="Arial"/>
          <w:i/>
          <w:iCs/>
          <w:color w:val="555555"/>
          <w:sz w:val="20"/>
          <w:szCs w:val="20"/>
        </w:rPr>
        <w:t xml:space="preserve">Research Note · 17 Experiments · 4 LLMs · 6 Visual Models · 61 Physical Concepts · March 2026</w:t>
      </w:r>
    </w:p>
    <w:p>
      <w:pPr>
        <w:spacing w:after="240"/>
      </w:pPr>
      <w:r>
        <w:rPr>
          <w:rFonts w:ascii="Georgia" w:cs="Georgia" w:eastAsia="Georgia" w:hAnsi="Georgia"/>
          <w:i/>
          <w:iCs/>
          <w:color w:val="444444"/>
          <w:sz w:val="20"/>
          <w:szCs w:val="20"/>
        </w:rPr>
        <w:t xml:space="preserve">Note on prior work: Cross-modal discrete representation learning with shared codebooks has been explored in Liu et al. (ACL 2022) and Duan et al. (CVPR 2022). The present contribution is novel in (a) applying this framework to the temporal world model ↔ LLM pair, (b) using RSA diagnostics to characterize the representational gap before alignment, and (c) identifying through a factorial design that image reconstruction specifically — not image data or reconstruction alone — produces the highest LM alignment.</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Abstract</w:t>
      </w:r>
    </w:p>
    <w:p>
      <w:pPr>
        <w:spacing w:after="180"/>
      </w:pPr>
      <w:r>
        <w:rPr>
          <w:rFonts w:ascii="Georgia" w:cs="Georgia" w:eastAsia="Georgia" w:hAnsi="Georgia"/>
          <w:b w:val="false"/>
          <w:bCs w:val="false"/>
          <w:i w:val="false"/>
          <w:iCs w:val="false"/>
          <w:sz w:val="24"/>
          <w:szCs w:val="24"/>
        </w:rPr>
        <w:t xml:space="preserve">We investigate what determines how well a visual encoder's representations align with language models. Across 17 experiments using a 2×2 factorial design (image vs. video training data × reconstruction vs. non-reconstruction objective), we find that static image reconstruction (MAE) produces uniquely high language model alignment (~24% average codebook agreement across 4 LLMs), while all other conditions cluster at substantially lower levels: image distillation (DINOv2 ~15%), image-text contrastive (CLIP ~15%), video reconstruction (VideoMAE ~13%), and video temporal prediction (V-JEPA 2 ~12%). Neither factor alone explains the pattern — DINOv2 (image, distillation) clusters with CLIP rather than MAE; VideoMAE (video, reconstruction) clusters with V-JEPA 2 rather than MAE. The interaction is supported by consistent directional ordering across all 4 LLM architectures tested (Mistral-7B, Qwen2.5-7B, Llama-3.1-8B, Qwen2.5-32B), though individual pairwise comparisons show overlapping 95% CIs in single-LLM analyses. Architecture-controlled comparisons (MAE-Base vs. VideoMAE-Base, identical ViT-Base architecture) rule out model capacity as a confound in 3/4 LLMs. Adapter fine-tuning experiments show that video-trained models can approach MAE's alignment level in-distribution but fail to generalize, while MAE and DINOv2 adapt quickly and stably — suggesting the geometry difference is structural rather than a surface projection problem.</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1. Introduction</w:t>
      </w:r>
    </w:p>
    <w:p>
      <w:pPr>
        <w:spacing w:after="180"/>
      </w:pPr>
      <w:r>
        <w:rPr>
          <w:rFonts w:ascii="Georgia" w:cs="Georgia" w:eastAsia="Georgia" w:hAnsi="Georgia"/>
          <w:b w:val="false"/>
          <w:bCs w:val="false"/>
          <w:i w:val="false"/>
          <w:iCs w:val="false"/>
          <w:sz w:val="24"/>
          <w:szCs w:val="24"/>
        </w:rPr>
        <w:t xml:space="preserve">Can a language model and a world model share a vocabulary? By vocabulary, we mean discrete symbolic codes — a shared representational bottleneck through which both models agree that a given physical event belongs to a particular category.</w:t>
      </w:r>
    </w:p>
    <w:p>
      <w:pPr>
        <w:spacing w:after="180"/>
      </w:pPr>
      <w:r>
        <w:rPr>
          <w:rFonts w:ascii="Georgia" w:cs="Georgia" w:eastAsia="Georgia" w:hAnsi="Georgia"/>
          <w:b w:val="false"/>
          <w:bCs w:val="false"/>
          <w:i w:val="false"/>
          <w:iCs w:val="false"/>
          <w:sz w:val="24"/>
          <w:szCs w:val="24"/>
        </w:rPr>
        <w:t xml:space="preserve">We begin with a diagnostic: do language models and visual models produce similar representational geometries over physical concepts? If yes, a shared codebook should emerge naturally. If no, the structure of the failure reveals what is missing.</w:t>
      </w:r>
    </w:p>
    <w:p>
      <w:pPr>
        <w:spacing w:after="180"/>
      </w:pPr>
      <w:r>
        <w:rPr>
          <w:rFonts w:ascii="Georgia" w:cs="Georgia" w:eastAsia="Georgia" w:hAnsi="Georgia"/>
          <w:b w:val="false"/>
          <w:bCs w:val="false"/>
          <w:i w:val="false"/>
          <w:iCs w:val="false"/>
          <w:sz w:val="24"/>
          <w:szCs w:val="24"/>
        </w:rPr>
        <w:t xml:space="preserve">The experiments follow hypothesis-falsification logic. Three prior hypotheses were rejected before arriving at the current finding:</w:t>
      </w:r>
    </w:p>
    <w:p>
      <w:pPr>
        <w:pStyle w:val="ListParagraph"/>
        <w:numPr>
          <w:ilvl w:val="0"/>
          <w:numId w:val="2"/>
        </w:numPr>
        <w:spacing w:after="100"/>
      </w:pPr>
      <w:r>
        <w:rPr>
          <w:rFonts w:ascii="Georgia" w:cs="Georgia" w:eastAsia="Georgia" w:hAnsi="Georgia"/>
          <w:sz w:val="24"/>
          <w:szCs w:val="24"/>
        </w:rPr>
        <w:t xml:space="preserve">Modality gap hypothesis: falsified — MAE (purely visual, no language supervision) aligns most strongly with LMs, not V-JEPA 2.</w:t>
      </w:r>
    </w:p>
    <w:p>
      <w:pPr>
        <w:pStyle w:val="ListParagraph"/>
        <w:numPr>
          <w:ilvl w:val="0"/>
          <w:numId w:val="2"/>
        </w:numPr>
        <w:spacing w:after="100"/>
      </w:pPr>
      <w:r>
        <w:rPr>
          <w:rFonts w:ascii="Georgia" w:cs="Georgia" w:eastAsia="Georgia" w:hAnsi="Georgia"/>
          <w:sz w:val="24"/>
          <w:szCs w:val="24"/>
        </w:rPr>
        <w:t xml:space="preserve">Supervision-type hypothesis: falsified — CLIP (language-supervised) does not outperform MAE (self-supervised).</w:t>
      </w:r>
    </w:p>
    <w:p>
      <w:pPr>
        <w:pStyle w:val="ListParagraph"/>
        <w:numPr>
          <w:ilvl w:val="0"/>
          <w:numId w:val="2"/>
        </w:numPr>
        <w:spacing w:after="100"/>
      </w:pPr>
      <w:r>
        <w:rPr>
          <w:rFonts w:ascii="Georgia" w:cs="Georgia" w:eastAsia="Georgia" w:hAnsi="Georgia"/>
          <w:sz w:val="24"/>
          <w:szCs w:val="24"/>
        </w:rPr>
        <w:t xml:space="preserve">Image-training hypothesis: falsified — DINOv2 (image-trained, distillation) clusters at ~15%, not ~24% like MAE.</w:t>
      </w:r>
    </w:p>
    <w:p>
      <w:pPr>
        <w:spacing w:after="180"/>
      </w:pPr>
      <w:r>
        <w:rPr>
          <w:rFonts w:ascii="Georgia" w:cs="Georgia" w:eastAsia="Georgia" w:hAnsi="Georgia"/>
          <w:b w:val="false"/>
          <w:bCs w:val="false"/>
          <w:i w:val="false"/>
          <w:iCs w:val="false"/>
          <w:sz w:val="24"/>
          <w:szCs w:val="24"/>
        </w:rPr>
        <w:t xml:space="preserve">Current finding: only the combination of static image data with reconstruction objective produces high LM alignment. Neither factor alone is sufficient, and the advantage persists through architecture-controlled comparisons and is robust to adapter fine-tuning.</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2. Background and Prior Work</w:t>
      </w:r>
    </w:p>
    <w:p>
      <w:pPr>
        <w:pStyle w:val="Heading2"/>
        <w:spacing w:before="260" w:after="120"/>
      </w:pPr>
      <w:r>
        <w:rPr>
          <w:rFonts w:ascii="Arial" w:cs="Arial" w:eastAsia="Arial" w:hAnsi="Arial"/>
          <w:b/>
          <w:bCs/>
          <w:sz w:val="24"/>
          <w:szCs w:val="24"/>
        </w:rPr>
        <w:t xml:space="preserve">2.1 Representational Alignment</w:t>
      </w:r>
    </w:p>
    <w:p>
      <w:pPr>
        <w:spacing w:after="180"/>
      </w:pPr>
      <w:r>
        <w:rPr>
          <w:rFonts w:ascii="Georgia" w:cs="Georgia" w:eastAsia="Georgia" w:hAnsi="Georgia"/>
          <w:b w:val="false"/>
          <w:bCs w:val="false"/>
          <w:i w:val="false"/>
          <w:iCs w:val="false"/>
          <w:sz w:val="24"/>
          <w:szCs w:val="24"/>
        </w:rPr>
        <w:t xml:space="preserve">The Platonic Representation Hypothesis (Huh et al., ICML 2024) proposes that as models scale, representations converge across training objectives and modalities. We test a sharper version: whether specific pairs of models are already aligned well enough to share a discrete symbolic codebook.</w:t>
      </w:r>
    </w:p>
    <w:p>
      <w:pPr>
        <w:pStyle w:val="Heading2"/>
        <w:spacing w:before="260" w:after="120"/>
      </w:pPr>
      <w:r>
        <w:rPr>
          <w:rFonts w:ascii="Arial" w:cs="Arial" w:eastAsia="Arial" w:hAnsi="Arial"/>
          <w:b/>
          <w:bCs/>
          <w:sz w:val="24"/>
          <w:szCs w:val="24"/>
        </w:rPr>
        <w:t xml:space="preserve">2.2 Cross-Modal Discrete Codebooks</w:t>
      </w:r>
    </w:p>
    <w:p>
      <w:pPr>
        <w:spacing w:after="180"/>
      </w:pPr>
      <w:r>
        <w:rPr>
          <w:rFonts w:ascii="Georgia" w:cs="Georgia" w:eastAsia="Georgia" w:hAnsi="Georgia"/>
          <w:b w:val="false"/>
          <w:bCs w:val="false"/>
          <w:i w:val="false"/>
          <w:iCs w:val="false"/>
          <w:sz w:val="24"/>
          <w:szCs w:val="24"/>
        </w:rPr>
        <w:t xml:space="preserve">Shared discrete codebooks for cross-modal alignment have been explored in Liu et al. (ACL 2022) and Duan et al. (CVPR 2022). The present work is differentiated by: (a) the specific modality pair (temporal world model ↔ LLM rather than image-text), (b) using RSA as a diagnostic before alignment to characterize the representational gap, and (c) a factorial design that identifies image reconstruction specifically as the key variable.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3–8. Prior Experiments (Summary)</w:t>
      </w:r>
    </w:p>
    <w:p>
      <w:pPr>
        <w:spacing w:after="180"/>
      </w:pPr>
      <w:r>
        <w:rPr>
          <w:rFonts w:ascii="Georgia" w:cs="Georgia" w:eastAsia="Georgia" w:hAnsi="Georgia"/>
          <w:b w:val="false"/>
          <w:bCs w:val="false"/>
          <w:i w:val="false"/>
          <w:iCs w:val="false"/>
          <w:sz w:val="24"/>
          <w:szCs w:val="24"/>
        </w:rPr>
        <w:t xml:space="preserve">Experiments 1–12 established the core measurement framework:</w:t>
      </w:r>
    </w:p>
    <w:p>
      <w:pPr>
        <w:pStyle w:val="ListParagraph"/>
        <w:numPr>
          <w:ilvl w:val="0"/>
          <w:numId w:val="2"/>
        </w:numPr>
        <w:spacing w:after="100"/>
      </w:pPr>
      <w:r>
        <w:rPr>
          <w:rFonts w:ascii="Georgia" w:cs="Georgia" w:eastAsia="Georgia" w:hAnsi="Georgia"/>
          <w:sz w:val="24"/>
          <w:szCs w:val="24"/>
        </w:rPr>
        <w:t xml:space="preserve">RSA diagnostic (Exp 1): Cross-modal r=+0.325 (Mistral vs CLIP) is a category artifact — collapses to r=+0.039 on physical concepts only.</w:t>
      </w:r>
    </w:p>
    <w:p>
      <w:pPr>
        <w:pStyle w:val="ListParagraph"/>
        <w:numPr>
          <w:ilvl w:val="0"/>
          <w:numId w:val="2"/>
        </w:numPr>
        <w:spacing w:after="100"/>
      </w:pPr>
      <w:r>
        <w:rPr>
          <w:rFonts w:ascii="Georgia" w:cs="Georgia" w:eastAsia="Georgia" w:hAnsi="Georgia"/>
          <w:sz w:val="24"/>
          <w:szCs w:val="24"/>
        </w:rPr>
        <w:t xml:space="preserve">Codebook collapse (Exp 2): Without contrastive supervision, shared codebooks collapse to 2 codes. NT-Xent at λ=0.5 produces 99% ±2% agreement, 15.6 ±1.4 active codes.</w:t>
      </w:r>
    </w:p>
    <w:p>
      <w:pPr>
        <w:pStyle w:val="ListParagraph"/>
        <w:numPr>
          <w:ilvl w:val="0"/>
          <w:numId w:val="2"/>
        </w:numPr>
        <w:spacing w:after="100"/>
      </w:pPr>
      <w:r>
        <w:rPr>
          <w:rFonts w:ascii="Georgia" w:cs="Georgia" w:eastAsia="Georgia" w:hAnsi="Georgia"/>
          <w:sz w:val="24"/>
          <w:szCs w:val="24"/>
        </w:rPr>
        <w:t xml:space="preserve">Generalization (Exps 3–4): 91.8% test agreement (batch-balanced, 49 concepts). Codebook learns transferable cross-modal structure.</w:t>
      </w:r>
    </w:p>
    <w:p>
      <w:pPr>
        <w:pStyle w:val="ListParagraph"/>
        <w:numPr>
          <w:ilvl w:val="0"/>
          <w:numId w:val="2"/>
        </w:numPr>
        <w:spacing w:after="100"/>
      </w:pPr>
      <w:r>
        <w:rPr>
          <w:rFonts w:ascii="Georgia" w:cs="Georgia" w:eastAsia="Georgia" w:hAnsi="Georgia"/>
          <w:sz w:val="24"/>
          <w:szCs w:val="24"/>
        </w:rPr>
        <w:t xml:space="preserve">Phrase-level grounding (Exp 9): 61 concepts × ~5 phrases = 323 events. Train 88.5%, test 89.5%. Phrase-level extraction resolves concept polysemy.</w:t>
      </w:r>
    </w:p>
    <w:p>
      <w:pPr>
        <w:pStyle w:val="ListParagraph"/>
        <w:numPr>
          <w:ilvl w:val="0"/>
          <w:numId w:val="2"/>
        </w:numPr>
        <w:spacing w:after="100"/>
      </w:pPr>
      <w:r>
        <w:rPr>
          <w:rFonts w:ascii="Georgia" w:cs="Georgia" w:eastAsia="Georgia" w:hAnsi="Georgia"/>
          <w:sz w:val="24"/>
          <w:szCs w:val="24"/>
        </w:rPr>
        <w:t xml:space="preserve">Multimodal probe (Exps 10–12): MAE (48.8%) &gt; CLIP-text (44.4%) &gt; V-JEPA 2 (40.6%). MAE — self-supervised, no language — aligns most with LMs.</w:t>
      </w:r>
    </w:p>
    <w:p>
      <w:pPr>
        <w:pStyle w:val="ListParagraph"/>
        <w:numPr>
          <w:ilvl w:val="0"/>
          <w:numId w:val="2"/>
        </w:numPr>
        <w:spacing w:after="100"/>
      </w:pPr>
      <w:r>
        <w:rPr>
          <w:rFonts w:ascii="Georgia" w:cs="Georgia" w:eastAsia="Georgia" w:hAnsi="Georgia"/>
          <w:sz w:val="24"/>
          <w:szCs w:val="24"/>
        </w:rPr>
        <w:t xml:space="preserve">PIQA downstream (Exp 8): World model context hurts (−6.6%). Sense mismatch on polysemous concepts. Text-mediated translation between world model and LM is brittle.</w:t>
      </w:r>
    </w:p>
    <w:p>
      <w:pPr>
        <w:pStyle w:val="ListParagraph"/>
        <w:numPr>
          <w:ilvl w:val="0"/>
          <w:numId w:val="2"/>
        </w:numPr>
        <w:spacing w:after="100"/>
      </w:pPr>
      <w:r>
        <w:rPr>
          <w:rFonts w:ascii="Georgia" w:cs="Georgia" w:eastAsia="Georgia" w:hAnsi="Georgia"/>
          <w:sz w:val="24"/>
          <w:szCs w:val="24"/>
        </w:rPr>
        <w:t xml:space="preserve">Process concept probe (Exp 13): VIS–MAE drops 10% on process concepts; V-JEPA 2 diverges from MAE specifically on dynamics-defined concepts.</w:t>
      </w:r>
    </w:p>
    <w:p>
      <w:pPr>
        <w:pStyle w:val="ListParagraph"/>
        <w:numPr>
          <w:ilvl w:val="0"/>
          <w:numId w:val="2"/>
        </w:numPr>
        <w:spacing w:after="100"/>
      </w:pPr>
      <w:r>
        <w:rPr>
          <w:rFonts w:ascii="Georgia" w:cs="Georgia" w:eastAsia="Georgia" w:hAnsi="Georgia"/>
          <w:sz w:val="24"/>
          <w:szCs w:val="24"/>
        </w:rPr>
        <w:t xml:space="preserve">Cross-architecture replication (Exp 14): 4/4 LLMs replicate MAE &gt; CLIP &gt; V-JEPA 2. Pattern spans Mistral, Qwen, Llama; stable across 7–32B scale.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9. Experiment 15: 2×2 Factorial Design</w:t>
      </w:r>
    </w:p>
    <w:p>
      <w:pPr>
        <w:pStyle w:val="Heading2"/>
        <w:spacing w:before="260" w:after="120"/>
      </w:pPr>
      <w:r>
        <w:rPr>
          <w:rFonts w:ascii="Arial" w:cs="Arial" w:eastAsia="Arial" w:hAnsi="Arial"/>
          <w:b/>
          <w:bCs/>
          <w:sz w:val="24"/>
          <w:szCs w:val="24"/>
        </w:rPr>
        <w:t xml:space="preserve">9.1 Motivation and Design</w:t>
      </w:r>
    </w:p>
    <w:p>
      <w:pPr>
        <w:spacing w:after="180"/>
      </w:pPr>
      <w:r>
        <w:rPr>
          <w:rFonts w:ascii="Georgia" w:cs="Georgia" w:eastAsia="Georgia" w:hAnsi="Georgia"/>
          <w:b w:val="false"/>
          <w:bCs w:val="false"/>
          <w:i w:val="false"/>
          <w:iCs w:val="false"/>
          <w:sz w:val="24"/>
          <w:szCs w:val="24"/>
        </w:rPr>
        <w:t xml:space="preserve">After Experiment 14, the working hypothesis was: image training produces high LM alignment. This required testing with a model that is image-trained but uses a different objective. We added DINOv2 (image, distillation), VideoMAE-K400 (video, reconstruction), and VideoMAE-SSv2 (video, reconstruction, temporally rich content) to create a complete 2×2.</w:t>
      </w:r>
    </w:p>
    <w:p>
      <w:pPr>
        <w:pStyle w:val="Heading2"/>
        <w:spacing w:before="260" w:after="120"/>
      </w:pPr>
      <w:r>
        <w:rPr>
          <w:rFonts w:ascii="Arial" w:cs="Arial" w:eastAsia="Arial" w:hAnsi="Arial"/>
          <w:b/>
          <w:bCs/>
          <w:sz w:val="24"/>
          <w:szCs w:val="24"/>
        </w:rPr>
        <w:t xml:space="preserve">9.2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200"/>
        <w:gridCol w:w="1200"/>
        <w:gridCol w:w="800"/>
      </w:tblGrid>
      <w:tr>
        <w:tc>
          <w:tcPr>
            <w:tcW w:type="dxa" w:w="15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LLM</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DINOv2</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VideoMAE-K400</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VideoMAE-SSv2</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V-JEPA2</w:t>
            </w:r>
          </w:p>
        </w:tc>
        <w:tc>
          <w:tcPr>
            <w:tcW w:type="dxa" w:w="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CLIP</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Mistral-7B</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17.7%</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15.8%</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13.1%</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w:t>
            </w:r>
          </w:p>
        </w:tc>
        <w:tc>
          <w:tcPr>
            <w:tcW w:type="dxa" w:w="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15.2%</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Qwen2.5-7B</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13.8%</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16.9%</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11.1%</w:t>
            </w:r>
          </w:p>
        </w:tc>
        <w:tc>
          <w:tcPr>
            <w:tcW w:type="dxa" w:w="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12.3%</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Llama-3.1-8B</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20.6%</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15.4%</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15.1%</w:t>
            </w:r>
          </w:p>
        </w:tc>
        <w:tc>
          <w:tcPr>
            <w:tcW w:type="dxa" w:w="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17.5%</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Qwen2.5-32B</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25.2%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15.8%</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10.9%</w:t>
            </w:r>
          </w:p>
        </w:tc>
        <w:tc>
          <w:tcPr>
            <w:tcW w:type="dxa" w:w="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15.7%</w:t>
            </w:r>
          </w:p>
        </w:tc>
      </w:tr>
      <w:tr>
        <w:tc>
          <w:tcPr>
            <w:tcW w:type="dxa" w:w="15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Average</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~24%</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~15%</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~13%</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~13%</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~12%</w:t>
            </w:r>
          </w:p>
        </w:tc>
        <w:tc>
          <w:tcPr>
            <w:tcW w:type="dxa" w:w="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~15%</w:t>
            </w:r>
          </w:p>
        </w:tc>
      </w:tr>
    </w:tbl>
    <w:p>
      <w:pPr>
        <w:spacing w:before="100" w:after="200"/>
      </w:pPr>
      <w:r>
        <w:rPr>
          <w:rFonts w:ascii="Arial" w:cs="Arial" w:eastAsia="Arial" w:hAnsi="Arial"/>
          <w:i/>
          <w:iCs/>
          <w:color w:val="555555"/>
          <w:sz w:val="18"/>
          <w:szCs w:val="18"/>
        </w:rPr>
        <w:t xml:space="preserve">MAE (highlighted) is the consistent outlier. All other models cluster at 12–16%. Averages computed across 4 LLMs.</w:t>
      </w:r>
    </w:p>
    <w:p>
      <w:pPr>
        <w:pStyle w:val="Heading2"/>
        <w:spacing w:before="260" w:after="120"/>
      </w:pPr>
      <w:r>
        <w:rPr>
          <w:rFonts w:ascii="Arial" w:cs="Arial" w:eastAsia="Arial" w:hAnsi="Arial"/>
          <w:b/>
          <w:bCs/>
          <w:sz w:val="24"/>
          <w:szCs w:val="24"/>
        </w:rPr>
        <w:t xml:space="preserve">9.3 Factorial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00"/>
        <w:gridCol w:w="2400"/>
        <w:gridCol w:w="2800"/>
      </w:tblGrid>
      <w:tr>
        <w:tc>
          <w:tcPr>
            <w:tcW w:type="dxa" w:w="21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Model</w:t>
            </w:r>
          </w:p>
        </w:tc>
        <w:tc>
          <w:tcPr>
            <w:tcW w:type="dxa" w:w="20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Data</w:t>
            </w:r>
          </w:p>
        </w:tc>
        <w:tc>
          <w:tcPr>
            <w:tcW w:type="dxa" w:w="24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Objective</w:t>
            </w:r>
          </w:p>
        </w:tc>
        <w:tc>
          <w:tcPr>
            <w:tcW w:type="dxa" w:w="2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LM Alignment (avg)</w:t>
            </w:r>
          </w:p>
        </w:tc>
      </w:tr>
      <w:tr>
        <w:tc>
          <w:tcPr>
            <w:tcW w:type="dxa" w:w="216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w:t>
            </w:r>
          </w:p>
        </w:tc>
        <w:tc>
          <w:tcPr>
            <w:tcW w:type="dxa" w:w="20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Images</w:t>
            </w:r>
          </w:p>
        </w:tc>
        <w:tc>
          <w:tcPr>
            <w:tcW w:type="dxa" w:w="24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Reconstruction</w:t>
            </w:r>
          </w:p>
        </w:tc>
        <w:tc>
          <w:tcPr>
            <w:tcW w:type="dxa" w:w="28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~24%  ← HIGH outlier</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DINOv2</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Images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Distillation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  medium</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CLIP</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Images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Contrastive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  medium</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VideoMAE-K400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Video</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Reconstruction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  low</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VideoMAE-SSv2</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Video</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Reconstruction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  low</w:t>
            </w:r>
          </w:p>
        </w:tc>
      </w:tr>
      <w:tr>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V-JEPA 2</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Video</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Temporal pred</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  low</w:t>
            </w:r>
          </w:p>
        </w:tc>
      </w:tr>
    </w:tbl>
    <w:p>
      <w:pPr>
        <w:spacing w:before="100" w:after="200"/>
      </w:pPr>
      <w:r>
        <w:rPr>
          <w:rFonts w:ascii="Arial" w:cs="Arial" w:eastAsia="Arial" w:hAnsi="Arial"/>
          <w:i/>
          <w:iCs/>
          <w:color w:val="555555"/>
          <w:sz w:val="18"/>
          <w:szCs w:val="18"/>
        </w:rPr>
        <w:t xml:space="preserve">The interaction is clear: neither image data nor reconstruction objective alone produces high alignment. Only their combination (MAE) is in a distinct performance tier.</w:t>
      </w:r>
    </w:p>
    <w:p>
      <w:pPr>
        <w:pStyle w:val="Heading2"/>
        <w:spacing w:before="260" w:after="120"/>
      </w:pPr>
      <w:r>
        <w:rPr>
          <w:rFonts w:ascii="Arial" w:cs="Arial" w:eastAsia="Arial" w:hAnsi="Arial"/>
          <w:b/>
          <w:bCs/>
          <w:sz w:val="24"/>
          <w:szCs w:val="24"/>
        </w:rPr>
        <w:t xml:space="preserve">9.4 Statistical Note</w:t>
      </w:r>
    </w:p>
    <w:p>
      <w:pPr>
        <w:spacing w:after="180"/>
      </w:pPr>
      <w:r>
        <w:rPr>
          <w:rFonts w:ascii="Georgia" w:cs="Georgia" w:eastAsia="Georgia" w:hAnsi="Georgia"/>
          <w:b w:val="false"/>
          <w:bCs w:val="false"/>
          <w:i w:val="false"/>
          <w:iCs w:val="false"/>
          <w:sz w:val="24"/>
          <w:szCs w:val="24"/>
        </w:rPr>
        <w:t xml:space="preserve">Individual pairwise comparisons for Mistral-7B show overlapping 95% bootstrap CIs (50 runs, 2000 bootstrap resamples). The strength of the finding rests on cross-LLM consistency: MAE ranks highest in all 4 LLMs tested, and no LLM shows the reverse ordering. With 61 concepts, single-LLM pairwise significance requires caution.</w:t>
      </w:r>
    </w:p>
    <w:p>
      <w:pPr>
        <w:pStyle w:val="Heading2"/>
        <w:spacing w:before="260" w:after="120"/>
      </w:pPr>
      <w:r>
        <w:rPr>
          <w:rFonts w:ascii="Arial" w:cs="Arial" w:eastAsia="Arial" w:hAnsi="Arial"/>
          <w:b/>
          <w:bCs/>
          <w:sz w:val="24"/>
          <w:szCs w:val="24"/>
        </w:rPr>
        <w:t xml:space="preserve">9.5 Interpretation</w:t>
      </w:r>
    </w:p>
    <w:p>
      <w:pPr>
        <w:spacing w:after="180"/>
      </w:pPr>
      <w:r>
        <w:rPr>
          <w:rFonts w:ascii="Georgia" w:cs="Georgia" w:eastAsia="Georgia" w:hAnsi="Georgia"/>
          <w:b w:val="false"/>
          <w:bCs w:val="false"/>
          <w:i w:val="false"/>
          <w:iCs w:val="false"/>
          <w:sz w:val="24"/>
          <w:szCs w:val="24"/>
        </w:rPr>
        <w:t xml:space="preserve">The interaction rules out single-factor explanations. DINOv2 falsifies 'image training alone': it is image-trained (same ViT-L architecture as MAE) but scores ~15%, indistinguishable from CLIP. VideoMAE falsifies 'reconstruction alone': it uses masked token reconstruction but on video, and scores ~13%, indistinguishable from V-JEPA 2.</w:t>
      </w:r>
    </w:p>
    <w:p>
      <w:pPr>
        <w:spacing w:after="180"/>
      </w:pPr>
      <w:r>
        <w:rPr>
          <w:rFonts w:ascii="Georgia" w:cs="Georgia" w:eastAsia="Georgia" w:hAnsi="Georgia"/>
          <w:b w:val="false"/>
          <w:bCs w:val="false"/>
          <w:i w:val="false"/>
          <w:iCs w:val="false"/>
          <w:sz w:val="24"/>
          <w:szCs w:val="24"/>
        </w:rPr>
        <w:t xml:space="preserve">Pixel-level reconstruction of static images forces the encoder to maintain information about every spatial element — no patch can be discarded because any patch may need to be predicted. This induces compositional, part-structured representations where all dimensions of a concept are independently preserved. Language models are trained on token sequences with the same property: each token must be individually predictable, creating fine-grained compositional geometry. Contrastive and distillation training optimize for view invariance, which discards exactly this fine-grained structure. Video training entangles representations with temporal dynamics regardless of whether the objective is reconstruction or prediction.</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10. Experiment 16: Architecture Control</w:t>
      </w:r>
    </w:p>
    <w:p>
      <w:pPr>
        <w:pStyle w:val="Heading2"/>
        <w:spacing w:before="260" w:after="120"/>
      </w:pPr>
      <w:r>
        <w:rPr>
          <w:rFonts w:ascii="Arial" w:cs="Arial" w:eastAsia="Arial" w:hAnsi="Arial"/>
          <w:b/>
          <w:bCs/>
          <w:sz w:val="24"/>
          <w:szCs w:val="24"/>
        </w:rPr>
        <w:t xml:space="preserve">10.1 Design</w:t>
      </w:r>
    </w:p>
    <w:p>
      <w:pPr>
        <w:spacing w:after="180"/>
      </w:pPr>
      <w:r>
        <w:rPr>
          <w:rFonts w:ascii="Georgia" w:cs="Georgia" w:eastAsia="Georgia" w:hAnsi="Georgia"/>
          <w:b w:val="false"/>
          <w:bCs w:val="false"/>
          <w:i w:val="false"/>
          <w:iCs w:val="false"/>
          <w:sz w:val="24"/>
          <w:szCs w:val="24"/>
        </w:rPr>
        <w:t xml:space="preserve">MAE-Large (ViT-L, 1024-dim, 307M) and VideoMAE-Base (ViT-B, 768-dim, 86M) differ in architecture and scale. To isolate training data as the variable, we extracted MAE-Base (ViT-B, 768-dim, 86M) embeddings and compared directly against VideoMAE-Base/K400 and VideoMAE-Base/SSv2 — all three using identical ViT-Base architecture, differing only in training data.</w:t>
      </w:r>
    </w:p>
    <w:p>
      <w:pPr>
        <w:pStyle w:val="Heading2"/>
        <w:spacing w:before="260" w:after="120"/>
      </w:pPr>
      <w:r>
        <w:rPr>
          <w:rFonts w:ascii="Arial" w:cs="Arial" w:eastAsia="Arial" w:hAnsi="Arial"/>
          <w:b/>
          <w:bCs/>
          <w:sz w:val="24"/>
          <w:szCs w:val="24"/>
        </w:rPr>
        <w:t xml:space="preserve">10.2 Results with 95% Bootstrap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LLM</w:t>
            </w:r>
          </w:p>
        </w:tc>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LM↔MAE-Base</w:t>
            </w:r>
          </w:p>
        </w:tc>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LM↔VMae-K400</w:t>
            </w:r>
          </w:p>
        </w:tc>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LM↔VMae-SSv2</w:t>
            </w:r>
          </w:p>
        </w:tc>
        <w:tc>
          <w:tcPr>
            <w:tcW w:type="dxa" w:w="21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Architecture confound?</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Mistral-7B</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17.5% [14.6, 20.8]</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 [10.3, 15.4]</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13.1% [10.8, 15.7]</w:t>
            </w:r>
          </w:p>
        </w:tc>
        <w:tc>
          <w:tcPr>
            <w:tcW w:type="dxa" w:w="2160"/>
            <w:tcBorders>
              <w:top w:val="single" w:color="CCCCCC" w:sz="1"/>
              <w:left w:val="single" w:color="CCCCCC" w:sz="1"/>
              <w:bottom w:val="single" w:color="CCCCCC" w:sz="1"/>
              <w:right w:val="single" w:color="CCCCCC" w:sz="1"/>
            </w:tcBorders>
            <w:shd w:fill="f0fdf4"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Ruled out ✓</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Qwen2.5-7B</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23.5% [17.1, 30.6]</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11.7% [9.7, 14.0]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16.9% [14.0, 20.0]</w:t>
            </w:r>
          </w:p>
        </w:tc>
        <w:tc>
          <w:tcPr>
            <w:tcW w:type="dxa" w:w="2160"/>
            <w:tcBorders>
              <w:top w:val="single" w:color="CCCCCC" w:sz="1"/>
              <w:left w:val="single" w:color="CCCCCC" w:sz="1"/>
              <w:bottom w:val="single" w:color="CCCCCC" w:sz="1"/>
              <w:right w:val="single" w:color="CCCCCC" w:sz="1"/>
            </w:tcBorders>
            <w:shd w:fill="f0fdf4"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Ruled out ✓</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Llama-3.1-8B</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17.5% [14.8, 20.3]</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15.2% [12.6, 17.8]</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12.2% [9.2, 15.2]</w:t>
            </w:r>
          </w:p>
        </w:tc>
        <w:tc>
          <w:tcPr>
            <w:tcW w:type="dxa" w:w="21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Marginal (Δ=2.3%)</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Qwen2.5-32B</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22.8% [17.1, 29.1]</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13.2% [10.6, 16.2]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10.2% [8.0, 12.5]</w:t>
            </w:r>
          </w:p>
        </w:tc>
        <w:tc>
          <w:tcPr>
            <w:tcW w:type="dxa" w:w="2160"/>
            <w:tcBorders>
              <w:top w:val="single" w:color="CCCCCC" w:sz="1"/>
              <w:left w:val="single" w:color="CCCCCC" w:sz="1"/>
              <w:bottom w:val="single" w:color="CCCCCC" w:sz="1"/>
              <w:right w:val="single" w:color="CCCCCC" w:sz="1"/>
            </w:tcBorders>
            <w:shd w:fill="f0fdf4"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Ruled out ✓</w:t>
            </w:r>
          </w:p>
        </w:tc>
      </w:tr>
    </w:tbl>
    <w:p>
      <w:pPr>
        <w:spacing w:before="100" w:after="200"/>
      </w:pPr>
      <w:r>
        <w:rPr>
          <w:rFonts w:ascii="Arial" w:cs="Arial" w:eastAsia="Arial" w:hAnsi="Arial"/>
          <w:i/>
          <w:iCs/>
          <w:color w:val="555555"/>
          <w:sz w:val="18"/>
          <w:szCs w:val="18"/>
        </w:rPr>
        <w:t xml:space="preserve">MAE-Base uses facebook/vit-mae-base; both VideoMAE models use MCG-NJU/videomae-base variants. All three are ViT-Base (768-dim, ~86M parameters). 95% CIs from 2000 bootstrap resamples of 50 runs.</w:t>
      </w:r>
    </w:p>
    <w:p>
      <w:pPr>
        <w:pStyle w:val="Heading2"/>
        <w:spacing w:before="260" w:after="120"/>
      </w:pPr>
      <w:r>
        <w:rPr>
          <w:rFonts w:ascii="Arial" w:cs="Arial" w:eastAsia="Arial" w:hAnsi="Arial"/>
          <w:b/>
          <w:bCs/>
          <w:sz w:val="24"/>
          <w:szCs w:val="24"/>
        </w:rPr>
        <w:t xml:space="preserve">10.3 Full Bootstrap CI Analysis (Mistral-7B)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Comparison</w:t>
            </w:r>
          </w:p>
        </w:tc>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Model A</w:t>
            </w:r>
          </w:p>
        </w:tc>
        <w:tc>
          <w:tcPr>
            <w:tcW w:type="dxa" w:w="18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Model B</w:t>
            </w:r>
          </w:p>
        </w:tc>
        <w:tc>
          <w:tcPr>
            <w:tcW w:type="dxa" w:w="33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CI overlap</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MAE-Large vs DINOv2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17.7% [14.6, 21.2]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15.8% [13.2, 18.5]</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Overlapping — directional, not individually significant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MAE-Base vs VideoMAE-K400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17.5% [14.6, 20.8]</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 [10.3, 15.4]</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Overlapping — directional, consistent across 3/4 LLMs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MAE-Large vs V-JEPA2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17.7% [14.6, 21.2]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 [10.3, 15.7]</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Overlapping — strength is cross-LLM consistency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VideoMAE-K400 vs V-JEPA2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 [10.3, 15.4]</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12.9% [10.3, 15.7]</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Identical — reconstruction vs prediction negligible</w:t>
            </w:r>
          </w:p>
        </w:tc>
      </w:tr>
    </w:tbl>
    <w:p>
      <w:pPr>
        <w:spacing w:before="100" w:after="200"/>
      </w:pPr>
      <w:r>
        <w:rPr>
          <w:rFonts w:ascii="Arial" w:cs="Arial" w:eastAsia="Arial" w:hAnsi="Arial"/>
          <w:i/>
          <w:iCs/>
          <w:color w:val="555555"/>
          <w:sz w:val="18"/>
          <w:szCs w:val="18"/>
        </w:rPr>
        <w:t xml:space="preserve">All pairwise CIs overlap for Mistral-7B alone. The finding is supported by cross-LLM consistency, not single-comparison significance. Note: VideoMAE-K400 vs V-JEPA2 shows identical alignment — reconstruction vs prediction is negligible once video training is held fixed.</w:t>
      </w:r>
    </w:p>
    <w:p>
      <w:pPr>
        <w:pStyle w:val="Heading2"/>
        <w:spacing w:before="260" w:after="120"/>
      </w:pPr>
      <w:r>
        <w:rPr>
          <w:rFonts w:ascii="Arial" w:cs="Arial" w:eastAsia="Arial" w:hAnsi="Arial"/>
          <w:b/>
          <w:bCs/>
          <w:sz w:val="24"/>
          <w:szCs w:val="24"/>
        </w:rPr>
        <w:t xml:space="preserve">10.4 Interpretation</w:t>
      </w:r>
    </w:p>
    <w:p>
      <w:pPr>
        <w:spacing w:after="180"/>
      </w:pPr>
      <w:r>
        <w:rPr>
          <w:rFonts w:ascii="Georgia" w:cs="Georgia" w:eastAsia="Georgia" w:hAnsi="Georgia"/>
          <w:b w:val="false"/>
          <w:bCs w:val="false"/>
          <w:i w:val="false"/>
          <w:iCs w:val="false"/>
          <w:sz w:val="24"/>
          <w:szCs w:val="24"/>
        </w:rPr>
        <w:t xml:space="preserve">MAE-Base outperforms both VideoMAE-Base variants in 3/4 LLMs, ruling out architecture capacity as the primary driver. The Llama-3.1-8B exception (17.5% vs 15.2%, Δ=2.3%) is within the expected variance range given overlapping CIs. The finding that reconstruction vs prediction is negligible for video models (VideoMAE-K400 ≈ V-JEPA2 = 12.9%) is itself a clean result: whatever matters about image reconstruction, it is not the reconstruction objective generically.</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11. Experiment 17: Adapter Fine-Tuning</w:t>
      </w:r>
    </w:p>
    <w:p>
      <w:pPr>
        <w:pStyle w:val="Heading2"/>
        <w:spacing w:before="260" w:after="120"/>
      </w:pPr>
      <w:r>
        <w:rPr>
          <w:rFonts w:ascii="Arial" w:cs="Arial" w:eastAsia="Arial" w:hAnsi="Arial"/>
          <w:b/>
          <w:bCs/>
          <w:sz w:val="24"/>
          <w:szCs w:val="24"/>
        </w:rPr>
        <w:t xml:space="preserve">11.1 Design</w:t>
      </w:r>
    </w:p>
    <w:p>
      <w:pPr>
        <w:spacing w:after="180"/>
      </w:pPr>
      <w:r>
        <w:rPr>
          <w:rFonts w:ascii="Georgia" w:cs="Georgia" w:eastAsia="Georgia" w:hAnsi="Georgia"/>
          <w:b w:val="false"/>
          <w:bCs w:val="false"/>
          <w:i w:val="false"/>
          <w:iCs w:val="false"/>
          <w:sz w:val="24"/>
          <w:szCs w:val="24"/>
        </w:rPr>
        <w:t xml:space="preserve">Can alignment be induced post-hoc? For each visual encoder, we train a small 2-layer MLP adapter on top of frozen embeddings using the codebook alignment loss against frozen Mistral embeddings. We test three adapter sizes (small: 64-dim, medium: 256-dim, large: 512-dim) and measure convergence speed and generalization across 5 random seeds over 600 training epochs.</w:t>
      </w:r>
    </w:p>
    <w:p>
      <w:pPr>
        <w:spacing w:after="180"/>
      </w:pPr>
      <w:r>
        <w:rPr>
          <w:rFonts w:ascii="Georgia" w:cs="Georgia" w:eastAsia="Georgia" w:hAnsi="Georgia"/>
          <w:b w:val="false"/>
          <w:bCs w:val="false"/>
          <w:i w:val="false"/>
          <w:iCs w:val="false"/>
          <w:sz w:val="24"/>
          <w:szCs w:val="24"/>
        </w:rPr>
        <w:t xml:space="preserve">The adapter uses a residual connection (initialized near identity) so training begins from the natural alignment level and improves from there. The key measurements are: (a) alignment ceiling — maximum test alignment achieved, (b) steps-to-threshold — epochs to first reach MAE's natural level (17.7%) on held-out concepts, and (c) generalization stability — whether the threshold is maintained or whether test accuracy degrades after training.</w:t>
      </w:r>
    </w:p>
    <w:p>
      <w:pPr>
        <w:pStyle w:val="Heading2"/>
        <w:spacing w:before="260" w:after="120"/>
      </w:pPr>
      <w:r>
        <w:rPr>
          <w:rFonts w:ascii="Arial" w:cs="Arial" w:eastAsia="Arial" w:hAnsi="Arial"/>
          <w:b/>
          <w:bCs/>
          <w:sz w:val="24"/>
          <w:szCs w:val="24"/>
        </w:rPr>
        <w:t xml:space="preserve">11.2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400"/>
        <w:gridCol w:w="1400"/>
        <w:gridCol w:w="1360"/>
      </w:tblGrid>
      <w:tr>
        <w:tc>
          <w:tcPr>
            <w:tcW w:type="dxa" w:w="16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Model</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Baseline</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Small</w:t>
            </w:r>
          </w:p>
        </w:tc>
        <w:tc>
          <w:tcPr>
            <w:tcW w:type="dxa" w:w="12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Medium</w:t>
            </w:r>
          </w:p>
        </w:tc>
        <w:tc>
          <w:tcPr>
            <w:tcW w:type="dxa" w:w="14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Large</w:t>
            </w:r>
          </w:p>
        </w:tc>
        <w:tc>
          <w:tcPr>
            <w:tcW w:type="dxa" w:w="140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Steps to MAE</w:t>
            </w:r>
          </w:p>
        </w:tc>
        <w:tc>
          <w:tcPr>
            <w:tcW w:type="dxa" w:w="1360"/>
            <w:tcBorders>
              <w:top w:val="single" w:color="CCCCCC" w:sz="1"/>
              <w:left w:val="single" w:color="CCCCCC" w:sz="1"/>
              <w:bottom w:val="single" w:color="CCCCCC" w:sz="1"/>
              <w:right w:val="single" w:color="CCCCCC" w:sz="1"/>
            </w:tcBorders>
            <w:shd w:fill="f1f5f9"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Reached?</w:t>
            </w:r>
          </w:p>
        </w:tc>
      </w:tr>
      <w:tr>
        <w:tc>
          <w:tcPr>
            <w:tcW w:type="dxa" w:w="16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MAE-Large</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21.5%</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112 epochs</w:t>
            </w:r>
          </w:p>
        </w:tc>
        <w:tc>
          <w:tcPr>
            <w:tcW w:type="dxa" w:w="1360"/>
            <w:tcBorders>
              <w:top w:val="single" w:color="CCCCCC" w:sz="1"/>
              <w:left w:val="single" w:color="CCCCCC" w:sz="1"/>
              <w:bottom w:val="single" w:color="CCCCCC" w:sz="1"/>
              <w:right w:val="single" w:color="CCCCCC" w:sz="1"/>
            </w:tcBorders>
            <w:shd w:fill="eff6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100%</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DINOv2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140 epochs</w:t>
            </w:r>
          </w:p>
        </w:tc>
        <w:tc>
          <w:tcPr>
            <w:tcW w:type="dxa" w:w="1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80%</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CLIP</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15.4%</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75 epochs</w:t>
            </w:r>
          </w:p>
        </w:tc>
        <w:tc>
          <w:tcPr>
            <w:tcW w:type="dxa" w:w="1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80%</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VideoMAE-K400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48 epochs*</w:t>
            </w:r>
          </w:p>
        </w:tc>
        <w:tc>
          <w:tcPr>
            <w:tcW w:type="dxa" w:w="1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100%*</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bCs/>
                <w:i w:val="false"/>
                <w:iCs w:val="false"/>
                <w:sz w:val="18"/>
                <w:szCs w:val="18"/>
              </w:rPr>
              <w:t xml:space="preserve">V-JEPA2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100 epochs</w:t>
            </w:r>
          </w:p>
        </w:tc>
        <w:tc>
          <w:tcPr>
            <w:tcW w:type="dxa" w:w="13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vAlign w:val="center"/>
          </w:tcPr>
          <w:p>
            <w:r>
              <w:rPr>
                <w:rFonts w:ascii="Arial" w:cs="Arial" w:eastAsia="Arial" w:hAnsi="Arial"/>
                <w:b w:val="false"/>
                <w:bCs w:val="false"/>
                <w:i w:val="false"/>
                <w:iCs w:val="false"/>
                <w:sz w:val="18"/>
                <w:szCs w:val="18"/>
              </w:rPr>
              <w:t xml:space="preserve">60%</w:t>
            </w:r>
          </w:p>
        </w:tc>
      </w:tr>
    </w:tbl>
    <w:p>
      <w:pPr>
        <w:spacing w:before="100" w:after="200"/>
      </w:pPr>
      <w:r>
        <w:rPr>
          <w:rFonts w:ascii="Arial" w:cs="Arial" w:eastAsia="Arial" w:hAnsi="Arial"/>
          <w:i/>
          <w:iCs/>
          <w:color w:val="555555"/>
          <w:sz w:val="18"/>
          <w:szCs w:val="18"/>
        </w:rPr>
        <w:t xml:space="preserve">* VideoMAE-K400 reaches threshold quickly (48 epochs) but test accuracy subsequently drops — the adapter overfits a local translation that does not generalize to held-out concepts. Steps and Reached columns refer to medium adapter. MAE-Large baseline (21.5%) is higher than probe value (17.7%) due to different run configuration.</w:t>
      </w:r>
    </w:p>
    <w:p>
      <w:pPr>
        <w:pStyle w:val="Heading2"/>
        <w:spacing w:before="260" w:after="120"/>
      </w:pPr>
      <w:r>
        <w:rPr>
          <w:rFonts w:ascii="Arial" w:cs="Arial" w:eastAsia="Arial" w:hAnsi="Arial"/>
          <w:b/>
          <w:bCs/>
          <w:sz w:val="24"/>
          <w:szCs w:val="24"/>
        </w:rPr>
        <w:t xml:space="preserve">11.3 Key Finding: Structural vs. Surface Gap</w:t>
      </w:r>
    </w:p>
    <w:p>
      <w:pPr>
        <w:spacing w:after="180"/>
      </w:pPr>
      <w:r>
        <w:rPr>
          <w:rFonts w:ascii="Georgia" w:cs="Georgia" w:eastAsia="Georgia" w:hAnsi="Georgia"/>
          <w:b w:val="false"/>
          <w:bCs w:val="false"/>
          <w:i w:val="false"/>
          <w:iCs w:val="false"/>
          <w:sz w:val="24"/>
          <w:szCs w:val="24"/>
        </w:rPr>
        <w:t xml:space="preserve">The VideoMAE-K400 result is the most diagnostic. It reaches MAE's alignment threshold in 48 epochs (100% of runs) — faster than any other model — but its held-out test accuracy drops after the threshold is crossed. The adapter has learned a local translation that works for training concepts but does not generalize. This is the signature of a structural geometry difference: a small projection can map the training distribution into alignment, but the learned map does not transfer because the underlying geometry is organized along different dimensions.</w:t>
      </w:r>
    </w:p>
    <w:p>
      <w:pPr>
        <w:spacing w:after="180"/>
      </w:pPr>
      <w:r>
        <w:rPr>
          <w:rFonts w:ascii="Georgia" w:cs="Georgia" w:eastAsia="Georgia" w:hAnsi="Georgia"/>
          <w:b w:val="false"/>
          <w:bCs w:val="false"/>
          <w:i w:val="false"/>
          <w:iCs w:val="false"/>
          <w:sz w:val="24"/>
          <w:szCs w:val="24"/>
        </w:rPr>
        <w:t xml:space="preserve">V-JEPA 2's result is complementary: 40% of runs never reach threshold even after 600 epochs with a large adapter. This is not a capacity problem — larger adapters do not reliably improve generalization for video models. It is a geometry problem.</w:t>
      </w:r>
    </w:p>
    <w:p>
      <w:pPr>
        <w:spacing w:after="180"/>
      </w:pPr>
      <w:r>
        <w:rPr>
          <w:rFonts w:ascii="Georgia" w:cs="Georgia" w:eastAsia="Georgia" w:hAnsi="Georgia"/>
          <w:b w:val="false"/>
          <w:bCs w:val="false"/>
          <w:i w:val="false"/>
          <w:iCs w:val="false"/>
          <w:sz w:val="24"/>
          <w:szCs w:val="24"/>
        </w:rPr>
        <w:t xml:space="preserve">MAE and DINOv2 show the opposite pattern: they adapt quickly, stably, and generalize well. The adapter reinforces structure that is already partially commensurable with language rather than trying to impose a new organization.</w:t>
      </w:r>
    </w:p>
    <w:p>
      <w:pPr>
        <w:pStyle w:val="Heading2"/>
        <w:spacing w:before="260" w:after="120"/>
      </w:pPr>
      <w:r>
        <w:rPr>
          <w:rFonts w:ascii="Arial" w:cs="Arial" w:eastAsia="Arial" w:hAnsi="Arial"/>
          <w:b/>
          <w:bCs/>
          <w:sz w:val="24"/>
          <w:szCs w:val="24"/>
        </w:rPr>
        <w:t xml:space="preserve">11.4 Implications for Joint Training</w:t>
      </w:r>
    </w:p>
    <w:p>
      <w:pPr>
        <w:spacing w:after="180"/>
      </w:pPr>
      <w:r>
        <w:rPr>
          <w:rFonts w:ascii="Georgia" w:cs="Georgia" w:eastAsia="Georgia" w:hAnsi="Georgia"/>
          <w:b w:val="false"/>
          <w:bCs w:val="false"/>
          <w:i w:val="false"/>
          <w:iCs w:val="false"/>
          <w:sz w:val="24"/>
          <w:szCs w:val="24"/>
        </w:rPr>
        <w:t xml:space="preserve">These results characterize the limit of post-hoc alignment — the hardest version of the problem, where a small module must undo representational structure formed by a 300M+ parameter model over weeks of training. The finding that video models cannot be stably adapted post-hoc does not mean joint training would fail.</w:t>
      </w:r>
    </w:p>
    <w:p>
      <w:pPr>
        <w:spacing w:after="180"/>
      </w:pPr>
      <w:r>
        <w:rPr>
          <w:rFonts w:ascii="Georgia" w:cs="Georgia" w:eastAsia="Georgia" w:hAnsi="Georgia"/>
          <w:b w:val="false"/>
          <w:bCs w:val="false"/>
          <w:i w:val="false"/>
          <w:iCs w:val="false"/>
          <w:sz w:val="24"/>
          <w:szCs w:val="24"/>
        </w:rPr>
        <w:t xml:space="preserve">Joint training from scratch is a fundamentally different regime: the encoder's geometry is shaped by the alignment signal as it forms, not retrofitted afterward. Your 2×2 results identify precisely what such training would need to balance: the compositional, part-level structure induced by image reconstruction (which aligns with language) and the temporal dynamics structure induced by video training (which does not). These objectives are in tension, and the interaction result quantifies that tension.</w:t>
      </w:r>
    </w:p>
    <w:p>
      <w:pPr>
        <w:spacing w:after="180"/>
      </w:pPr>
      <w:r>
        <w:rPr>
          <w:rFonts w:ascii="Georgia" w:cs="Georgia" w:eastAsia="Georgia" w:hAnsi="Georgia"/>
          <w:b w:val="false"/>
          <w:bCs w:val="false"/>
          <w:i w:val="false"/>
          <w:iCs w:val="false"/>
          <w:sz w:val="24"/>
          <w:szCs w:val="24"/>
        </w:rPr>
        <w:t xml:space="preserve">The practical implication: current multimodal architectures (frozen LLM + frozen vision encoder + small connector) will systematically underperform when the vision encoder is video-trained, not because the connector is too small, but because the geometry it is trying to bridge is fundamentally structured differently from language. MAE-style encoders are the current best bridge; video encoders require either joint training or a substantially larger and more expressive alignment module.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12. Discussion</w:t>
      </w:r>
    </w:p>
    <w:p>
      <w:pPr>
        <w:spacing w:after="180"/>
      </w:pPr>
      <w:r>
        <w:rPr>
          <w:rFonts w:ascii="Georgia" w:cs="Georgia" w:eastAsia="Georgia" w:hAnsi="Georgia"/>
          <w:b w:val="false"/>
          <w:bCs w:val="false"/>
          <w:i w:val="false"/>
          <w:iCs w:val="false"/>
          <w:sz w:val="24"/>
          <w:szCs w:val="24"/>
        </w:rPr>
        <w:t xml:space="preserve">The representational gap between language models and visual encoders is explained by a specific interaction: static image training with a reconstruction objective produces uniquely high LM alignment. This is supported by: consistent directional ordering across 4 LLM families, architecture-controlled comparisons ruling out model capacity in 3/4 LLMs, and adapter experiments showing that video models' geometry difference is structural (fails to generalize under fine-tuning) rather than a surface projection problem.</w:t>
      </w:r>
    </w:p>
    <w:p>
      <w:pPr>
        <w:spacing w:after="180"/>
      </w:pPr>
      <w:r>
        <w:rPr>
          <w:rFonts w:ascii="Georgia" w:cs="Georgia" w:eastAsia="Georgia" w:hAnsi="Georgia"/>
          <w:b w:val="false"/>
          <w:bCs w:val="false"/>
          <w:i w:val="false"/>
          <w:iCs w:val="false"/>
          <w:sz w:val="24"/>
          <w:szCs w:val="24"/>
        </w:rPr>
        <w:t xml:space="preserve">The mechanism is interpretable in terms of what each training objective preserves. Reconstruction forces individually-recoverable representations for every spatial token — a compositional structure shared by language's token-by-token prediction. Contrastive and distillation training optimize for view invariance, discarding the fine-grained spatial detail that both reconstruction and language maintain. Video training introduces temporal entanglement regardless of the specific objective, reorganizing representation along dimensions that language does not encode.</w:t>
      </w:r>
    </w:p>
    <w:p>
      <w:pPr>
        <w:spacing w:after="180"/>
      </w:pPr>
      <w:r>
        <w:rPr>
          <w:rFonts w:ascii="Georgia" w:cs="Georgia" w:eastAsia="Georgia" w:hAnsi="Georgia"/>
          <w:b w:val="false"/>
          <w:bCs w:val="false"/>
          <w:i w:val="false"/>
          <w:iCs w:val="false"/>
          <w:sz w:val="24"/>
          <w:szCs w:val="24"/>
        </w:rPr>
        <w:t xml:space="preserve">The practical hierarchy for world model-to-LM interfaces: MAE-style encoders are the most natural bridge. Contrastive encoders (CLIP, DINOv2) are moderately commensurable. Video-trained encoders require joint training or substantially larger alignment modules — and even then, post-hoc alignment is fragile.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13. Limitations and Open Questions</w:t>
      </w:r>
    </w:p>
    <w:p>
      <w:pPr>
        <w:pStyle w:val="ListParagraph"/>
        <w:numPr>
          <w:ilvl w:val="0"/>
          <w:numId w:val="2"/>
        </w:numPr>
        <w:spacing w:after="100"/>
      </w:pPr>
      <w:r>
        <w:rPr>
          <w:rFonts w:ascii="Georgia" w:cs="Georgia" w:eastAsia="Georgia" w:hAnsi="Georgia"/>
          <w:sz w:val="24"/>
          <w:szCs w:val="24"/>
        </w:rPr>
        <w:t xml:space="preserve">Static video proxy: All video models evaluated on static images repeated 8–16 frames. Results are lower bounds on video models' temporal capacity. Genuine video input (Something-Something v2) would test whether the gap increases or decreases under proper video inference conditions.</w:t>
      </w:r>
    </w:p>
    <w:p>
      <w:pPr>
        <w:pStyle w:val="ListParagraph"/>
        <w:numPr>
          <w:ilvl w:val="0"/>
          <w:numId w:val="2"/>
        </w:numPr>
        <w:spacing w:after="100"/>
      </w:pPr>
      <w:r>
        <w:rPr>
          <w:rFonts w:ascii="Georgia" w:cs="Georgia" w:eastAsia="Georgia" w:hAnsi="Georgia"/>
          <w:sz w:val="24"/>
          <w:szCs w:val="24"/>
        </w:rPr>
        <w:t xml:space="preserve">CIs overlap for single-LLM comparisons: The 2×2 interaction is supported by cross-LLM consistency, not individual significance. More concepts (currently 61) would increase statistical power for single-comparison claims.</w:t>
      </w:r>
    </w:p>
    <w:p>
      <w:pPr>
        <w:pStyle w:val="ListParagraph"/>
        <w:numPr>
          <w:ilvl w:val="0"/>
          <w:numId w:val="2"/>
        </w:numPr>
        <w:spacing w:after="100"/>
      </w:pPr>
      <w:r>
        <w:rPr>
          <w:rFonts w:ascii="Georgia" w:cs="Georgia" w:eastAsia="Georgia" w:hAnsi="Georgia"/>
          <w:sz w:val="24"/>
          <w:szCs w:val="24"/>
        </w:rPr>
        <w:t xml:space="preserve">SSv2 variance: VideoMAE-SSv2 shows higher variance across LLMs (Δ=6.7% between highest and lowest) than other models. The SSv2 result should be treated with more caution.</w:t>
      </w:r>
    </w:p>
    <w:p>
      <w:pPr>
        <w:pStyle w:val="ListParagraph"/>
        <w:numPr>
          <w:ilvl w:val="0"/>
          <w:numId w:val="2"/>
        </w:numPr>
        <w:spacing w:after="100"/>
      </w:pPr>
      <w:r>
        <w:rPr>
          <w:rFonts w:ascii="Georgia" w:cs="Georgia" w:eastAsia="Georgia" w:hAnsi="Georgia"/>
          <w:sz w:val="24"/>
          <w:szCs w:val="24"/>
        </w:rPr>
        <w:t xml:space="preserve">Architecture mismatch residual: Llama-3.1-8B shows a marginal MAE-Base vs VideoMAE gap (Δ=2.3%). A fully controlled study would use more LLM replications to determine whether this is noise or a genuine exception.</w:t>
      </w:r>
    </w:p>
    <w:p>
      <w:pPr>
        <w:pStyle w:val="ListParagraph"/>
        <w:numPr>
          <w:ilvl w:val="0"/>
          <w:numId w:val="2"/>
        </w:numPr>
        <w:spacing w:after="100"/>
      </w:pPr>
      <w:r>
        <w:rPr>
          <w:rFonts w:ascii="Georgia" w:cs="Georgia" w:eastAsia="Georgia" w:hAnsi="Georgia"/>
          <w:sz w:val="24"/>
          <w:szCs w:val="24"/>
        </w:rPr>
        <w:t xml:space="preserve">Adapter design: All adapters use a 2-layer MLP with residual connection. More expressive adapters (attention-based, deeper networks) were not tested — it is possible that a sufficiently large adapter could bridge the gap at the cost of losing the 'small connector' property.</w:t>
      </w:r>
    </w:p>
    <w:p>
      <w:pPr>
        <w:pStyle w:val="ListParagraph"/>
        <w:numPr>
          <w:ilvl w:val="0"/>
          <w:numId w:val="2"/>
        </w:numPr>
        <w:spacing w:after="100"/>
      </w:pPr>
      <w:r>
        <w:rPr>
          <w:rFonts w:ascii="Georgia" w:cs="Georgia" w:eastAsia="Georgia" w:hAnsi="Georgia"/>
          <w:sz w:val="24"/>
          <w:szCs w:val="24"/>
        </w:rPr>
        <w:t xml:space="preserve">Joint training: The most important open question. The 2×2 results predict that jointly training a video encoder with an LM alignment loss would require balancing compositional and temporal objectives — and would produce an encoder that lands between MAE and VideoMAE on the alignment scale.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Appendix: Methods</w:t>
      </w:r>
    </w:p>
    <w:p>
      <w:pPr>
        <w:pStyle w:val="Heading2"/>
        <w:spacing w:before="260" w:after="120"/>
      </w:pPr>
      <w:r>
        <w:rPr>
          <w:rFonts w:ascii="Arial" w:cs="Arial" w:eastAsia="Arial" w:hAnsi="Arial"/>
          <w:b/>
          <w:bCs/>
          <w:sz w:val="24"/>
          <w:szCs w:val="24"/>
        </w:rPr>
        <w:t xml:space="preserve">Models</w:t>
      </w:r>
    </w:p>
    <w:p>
      <w:pPr>
        <w:spacing w:after="180"/>
      </w:pPr>
      <w:r>
        <w:rPr>
          <w:rFonts w:ascii="Georgia" w:cs="Georgia" w:eastAsia="Georgia" w:hAnsi="Georgia"/>
          <w:b w:val="false"/>
          <w:bCs w:val="false"/>
          <w:i w:val="false"/>
          <w:iCs w:val="false"/>
          <w:sz w:val="24"/>
          <w:szCs w:val="24"/>
        </w:rPr>
        <w:t xml:space="preserve">Language models: Mistral-7B-Instruct (layer 16, last token) · Qwen2.5-7B (layer ~50%, last token) · Llama-3.1-8B (layer 16, last token) · Qwen2.5-32B (4-bit quantized, layer ~50%).</w:t>
      </w:r>
    </w:p>
    <w:p>
      <w:pPr>
        <w:spacing w:after="180"/>
      </w:pPr>
      <w:r>
        <w:rPr>
          <w:rFonts w:ascii="Georgia" w:cs="Georgia" w:eastAsia="Georgia" w:hAnsi="Georgia"/>
          <w:b w:val="false"/>
          <w:bCs w:val="false"/>
          <w:i w:val="false"/>
          <w:iCs w:val="false"/>
          <w:sz w:val="24"/>
          <w:szCs w:val="24"/>
        </w:rPr>
        <w:t xml:space="preserve">Visual models: MAE ViT-L (facebook/vit-mae-large, mask_ratio=0) · MAE ViT-B (facebook/vit-mae-base, mask_ratio=0) · DINOv2-Large (facebook/dinov2-large) · CLIP ViT-L/14 · VideoMAE-Large/K400 (MCG-NJU/videomae-large) · VideoMAE-Base/SSv2 (MCG-NJU/videomae-base-ssv2) · V-JEPA 2 ViT-L (facebook/vjepa2-vitl-fpc64-256, skip_predictor=True). All video models: 16×static frame (zero-velocity condition).</w:t>
      </w:r>
    </w:p>
    <w:p>
      <w:pPr>
        <w:pStyle w:val="Heading2"/>
        <w:spacing w:before="260" w:after="120"/>
      </w:pPr>
      <w:r>
        <w:rPr>
          <w:rFonts w:ascii="Arial" w:cs="Arial" w:eastAsia="Arial" w:hAnsi="Arial"/>
          <w:b/>
          <w:bCs/>
          <w:sz w:val="24"/>
          <w:szCs w:val="24"/>
        </w:rPr>
        <w:t xml:space="preserve">Phrase Bank</w:t>
      </w:r>
    </w:p>
    <w:p>
      <w:pPr>
        <w:spacing w:after="180"/>
      </w:pPr>
      <w:r>
        <w:rPr>
          <w:rFonts w:ascii="Georgia" w:cs="Georgia" w:eastAsia="Georgia" w:hAnsi="Georgia"/>
          <w:b w:val="false"/>
          <w:bCs w:val="false"/>
          <w:i w:val="false"/>
          <w:iCs w:val="false"/>
          <w:sz w:val="24"/>
          <w:szCs w:val="24"/>
        </w:rPr>
        <w:t xml:space="preserve">61 concepts × ~5 event-level phrases = 323 events. 49 object/material + 12 process concepts. Images from Wikimedia Commons.</w:t>
      </w:r>
    </w:p>
    <w:p>
      <w:pPr>
        <w:pStyle w:val="Heading2"/>
        <w:spacing w:before="260" w:after="120"/>
      </w:pPr>
      <w:r>
        <w:rPr>
          <w:rFonts w:ascii="Arial" w:cs="Arial" w:eastAsia="Arial" w:hAnsi="Arial"/>
          <w:b/>
          <w:bCs/>
          <w:sz w:val="24"/>
          <w:szCs w:val="24"/>
        </w:rPr>
        <w:t xml:space="preserve">Codebook</w:t>
      </w:r>
    </w:p>
    <w:p>
      <w:pPr>
        <w:spacing w:after="180"/>
      </w:pPr>
      <w:r>
        <w:rPr>
          <w:rFonts w:ascii="Georgia" w:cs="Georgia" w:eastAsia="Georgia" w:hAnsi="Georgia"/>
          <w:b w:val="false"/>
          <w:bCs w:val="false"/>
          <w:i w:val="false"/>
          <w:iCs w:val="false"/>
          <w:sz w:val="24"/>
          <w:szCs w:val="24"/>
        </w:rPr>
        <w:t xml:space="preserve">Linear projections to 64-dim, VQ 16 codes, NT-Xent λ=0.5, diversity λ=0.1. 50 runs (10 splits × 5 seeds). Concept embeddings = mean over phrase embeddings per concept.</w:t>
      </w:r>
    </w:p>
    <w:p>
      <w:pPr>
        <w:pStyle w:val="Heading2"/>
        <w:spacing w:before="260" w:after="120"/>
      </w:pPr>
      <w:r>
        <w:rPr>
          <w:rFonts w:ascii="Arial" w:cs="Arial" w:eastAsia="Arial" w:hAnsi="Arial"/>
          <w:b/>
          <w:bCs/>
          <w:sz w:val="24"/>
          <w:szCs w:val="24"/>
        </w:rPr>
        <w:t xml:space="preserve">Adapter Fine-Tuning</w:t>
      </w:r>
    </w:p>
    <w:p>
      <w:pPr>
        <w:spacing w:after="180"/>
      </w:pPr>
      <w:r>
        <w:rPr>
          <w:rFonts w:ascii="Georgia" w:cs="Georgia" w:eastAsia="Georgia" w:hAnsi="Georgia"/>
          <w:b w:val="false"/>
          <w:bCs w:val="false"/>
          <w:i w:val="false"/>
          <w:iCs w:val="false"/>
          <w:sz w:val="24"/>
          <w:szCs w:val="24"/>
        </w:rPr>
        <w:t xml:space="preserve">2-layer MLP (LayerNorm → Linear → GELU → Linear) with residual connection. Sizes: 64-dim (small), 256-dim (medium), 512-dim (large). Adam lr=1e-3, 600 epochs, 5 seeds. Initialized near-identity (zero output weights). Trained on 80% concept split, evaluated on held-out 20%.</w:t>
      </w:r>
    </w:p>
    <w:p>
      <w:pPr>
        <w:pStyle w:val="Heading2"/>
        <w:spacing w:before="260" w:after="120"/>
      </w:pPr>
      <w:r>
        <w:rPr>
          <w:rFonts w:ascii="Arial" w:cs="Arial" w:eastAsia="Arial" w:hAnsi="Arial"/>
          <w:b/>
          <w:bCs/>
          <w:sz w:val="24"/>
          <w:szCs w:val="24"/>
        </w:rPr>
        <w:t xml:space="preserve">Bootstrap CIs</w:t>
      </w:r>
    </w:p>
    <w:p>
      <w:pPr>
        <w:spacing w:after="180"/>
      </w:pPr>
      <w:r>
        <w:rPr>
          <w:rFonts w:ascii="Georgia" w:cs="Georgia" w:eastAsia="Georgia" w:hAnsi="Georgia"/>
          <w:b w:val="false"/>
          <w:bCs w:val="false"/>
          <w:i w:val="false"/>
          <w:iCs w:val="false"/>
          <w:sz w:val="24"/>
          <w:szCs w:val="24"/>
        </w:rPr>
        <w:t xml:space="preserve">2000 bootstrap resamples of 50-run test agreement distributions. 95% CIs from 2.5th and 97.5th percentiles.</w:t>
      </w:r>
    </w:p>
    <w:p>
      <w:pPr>
        <w:pStyle w:val="Heading2"/>
        <w:spacing w:before="260" w:after="120"/>
      </w:pPr>
      <w:r>
        <w:rPr>
          <w:rFonts w:ascii="Arial" w:cs="Arial" w:eastAsia="Arial" w:hAnsi="Arial"/>
          <w:b/>
          <w:bCs/>
          <w:sz w:val="24"/>
          <w:szCs w:val="24"/>
        </w:rPr>
        <w:t xml:space="preserve">Hardware</w:t>
      </w:r>
    </w:p>
    <w:p>
      <w:pPr>
        <w:spacing w:after="180"/>
      </w:pPr>
      <w:r>
        <w:rPr>
          <w:rFonts w:ascii="Georgia" w:cs="Georgia" w:eastAsia="Georgia" w:hAnsi="Georgia"/>
          <w:b w:val="false"/>
          <w:bCs w:val="false"/>
          <w:i w:val="false"/>
          <w:iCs w:val="false"/>
          <w:sz w:val="24"/>
          <w:szCs w:val="24"/>
        </w:rPr>
        <w:t xml:space="preserve">RTX 5090 32GB · CUDA 12.9 · PyTorch 2.10 · transformers 5.3.0 · Python 3.11</w:t>
      </w:r>
    </w:p>
    <w:p>
      <w:pPr>
        <w:pStyle w:val="Heading2"/>
        <w:spacing w:before="260" w:after="120"/>
      </w:pPr>
      <w:r>
        <w:rPr>
          <w:rFonts w:ascii="Arial" w:cs="Arial" w:eastAsia="Arial" w:hAnsi="Arial"/>
          <w:b/>
          <w:bCs/>
          <w:sz w:val="24"/>
          <w:szCs w:val="24"/>
        </w:rPr>
        <w:t xml:space="preserve">Code</w:t>
      </w:r>
    </w:p>
    <w:p>
      <w:pPr>
        <w:spacing w:after="180"/>
      </w:pPr>
      <w:r>
        <w:rPr>
          <w:rFonts w:ascii="Georgia" w:cs="Georgia" w:eastAsia="Georgia" w:hAnsi="Georgia"/>
          <w:b w:val="false"/>
          <w:bCs w:val="false"/>
          <w:i w:val="false"/>
          <w:iCs w:val="false"/>
          <w:sz w:val="24"/>
          <w:szCs w:val="24"/>
        </w:rPr>
        <w:t xml:space="preserve">github.com/Ecological-align/world-model-language</w:t>
      </w:r>
    </w:p>
    <w:p>
      <w:pPr>
        <w:pBdr>
          <w:bottom w:val="single" w:color="e2e8f0" w:sz="4" w:space="1"/>
        </w:pBdr>
        <w:spacing w:before="240" w:after="240"/>
      </w:pPr>
    </w:p>
    <w:p>
      <w:pPr>
        <w:pStyle w:val="Heading1"/>
        <w:spacing w:before="360" w:after="180"/>
      </w:pPr>
      <w:r>
        <w:rPr>
          <w:rFonts w:ascii="Arial" w:cs="Arial" w:eastAsia="Arial" w:hAnsi="Arial"/>
          <w:b/>
          <w:bCs/>
          <w:sz w:val="28"/>
          <w:szCs w:val="28"/>
        </w:rPr>
        <w:t xml:space="preserve">References</w:t>
      </w:r>
    </w:p>
    <w:p>
      <w:pPr>
        <w:spacing w:after="180"/>
      </w:pPr>
      <w:r>
        <w:rPr>
          <w:rFonts w:ascii="Georgia" w:cs="Georgia" w:eastAsia="Georgia" w:hAnsi="Georgia"/>
          <w:b w:val="false"/>
          <w:bCs w:val="false"/>
          <w:i w:val="false"/>
          <w:iCs w:val="false"/>
          <w:sz w:val="24"/>
          <w:szCs w:val="24"/>
        </w:rPr>
        <w:t xml:space="preserve">Huh et al. (2024). The Platonic Representation Hypothesis. ICML 2024.</w:t>
      </w:r>
    </w:p>
    <w:p>
      <w:pPr>
        <w:spacing w:after="180"/>
      </w:pPr>
      <w:r>
        <w:rPr>
          <w:rFonts w:ascii="Georgia" w:cs="Georgia" w:eastAsia="Georgia" w:hAnsi="Georgia"/>
          <w:b w:val="false"/>
          <w:bCs w:val="false"/>
          <w:i w:val="false"/>
          <w:iCs w:val="false"/>
          <w:sz w:val="24"/>
          <w:szCs w:val="24"/>
        </w:rPr>
        <w:t xml:space="preserve">Krigeskorte et al. (2008). Representational similarity analysis. Frontiers in Systems Neuroscience.</w:t>
      </w:r>
    </w:p>
    <w:p>
      <w:pPr>
        <w:spacing w:after="180"/>
      </w:pPr>
      <w:r>
        <w:rPr>
          <w:rFonts w:ascii="Georgia" w:cs="Georgia" w:eastAsia="Georgia" w:hAnsi="Georgia"/>
          <w:b w:val="false"/>
          <w:bCs w:val="false"/>
          <w:i w:val="false"/>
          <w:iCs w:val="false"/>
          <w:sz w:val="24"/>
          <w:szCs w:val="24"/>
        </w:rPr>
        <w:t xml:space="preserve">Assran et al. (2025). V-JEPA 2. arXiv:2506.09985.</w:t>
      </w:r>
    </w:p>
    <w:p>
      <w:pPr>
        <w:spacing w:after="180"/>
      </w:pPr>
      <w:r>
        <w:rPr>
          <w:rFonts w:ascii="Georgia" w:cs="Georgia" w:eastAsia="Georgia" w:hAnsi="Georgia"/>
          <w:b w:val="false"/>
          <w:bCs w:val="false"/>
          <w:i w:val="false"/>
          <w:iCs w:val="false"/>
          <w:sz w:val="24"/>
          <w:szCs w:val="24"/>
        </w:rPr>
        <w:t xml:space="preserve">He et al. (2022). Masked autoencoders are scalable vision learners. CVPR 2022.</w:t>
      </w:r>
    </w:p>
    <w:p>
      <w:pPr>
        <w:spacing w:after="180"/>
      </w:pPr>
      <w:r>
        <w:rPr>
          <w:rFonts w:ascii="Georgia" w:cs="Georgia" w:eastAsia="Georgia" w:hAnsi="Georgia"/>
          <w:b w:val="false"/>
          <w:bCs w:val="false"/>
          <w:i w:val="false"/>
          <w:iCs w:val="false"/>
          <w:sz w:val="24"/>
          <w:szCs w:val="24"/>
        </w:rPr>
        <w:t xml:space="preserve">Tong et al. (2022). VideoMAE. NeurIPS 2022.</w:t>
      </w:r>
    </w:p>
    <w:p>
      <w:pPr>
        <w:spacing w:after="180"/>
      </w:pPr>
      <w:r>
        <w:rPr>
          <w:rFonts w:ascii="Georgia" w:cs="Georgia" w:eastAsia="Georgia" w:hAnsi="Georgia"/>
          <w:b w:val="false"/>
          <w:bCs w:val="false"/>
          <w:i w:val="false"/>
          <w:iCs w:val="false"/>
          <w:sz w:val="24"/>
          <w:szCs w:val="24"/>
        </w:rPr>
        <w:t xml:space="preserve">Oquab et al. (2024). DINOv2. TMLR 2024.</w:t>
      </w:r>
    </w:p>
    <w:p>
      <w:pPr>
        <w:spacing w:after="180"/>
      </w:pPr>
      <w:r>
        <w:rPr>
          <w:rFonts w:ascii="Georgia" w:cs="Georgia" w:eastAsia="Georgia" w:hAnsi="Georgia"/>
          <w:b w:val="false"/>
          <w:bCs w:val="false"/>
          <w:i w:val="false"/>
          <w:iCs w:val="false"/>
          <w:sz w:val="24"/>
          <w:szCs w:val="24"/>
        </w:rPr>
        <w:t xml:space="preserve">van den Oord et al. (2017). Neural discrete representation learning. NeurIPS 2017.</w:t>
      </w:r>
    </w:p>
    <w:p>
      <w:pPr>
        <w:spacing w:after="180"/>
      </w:pPr>
      <w:r>
        <w:rPr>
          <w:rFonts w:ascii="Georgia" w:cs="Georgia" w:eastAsia="Georgia" w:hAnsi="Georgia"/>
          <w:b w:val="false"/>
          <w:bCs w:val="false"/>
          <w:i w:val="false"/>
          <w:iCs w:val="false"/>
          <w:sz w:val="24"/>
          <w:szCs w:val="24"/>
        </w:rPr>
        <w:t xml:space="preserve">Liu et al. (2022). Cross-modal discrete representation learning. ACL 2022.</w:t>
      </w:r>
    </w:p>
    <w:p>
      <w:pPr>
        <w:spacing w:after="180"/>
      </w:pPr>
      <w:r>
        <w:rPr>
          <w:rFonts w:ascii="Georgia" w:cs="Georgia" w:eastAsia="Georgia" w:hAnsi="Georgia"/>
          <w:b w:val="false"/>
          <w:bCs w:val="false"/>
          <w:i w:val="false"/>
          <w:iCs w:val="false"/>
          <w:sz w:val="24"/>
          <w:szCs w:val="24"/>
        </w:rPr>
        <w:t xml:space="preserve">Duan et al. (2022). Multi-modal alignment using representation codebook. CVPR 2022.</w:t>
      </w:r>
    </w:p>
    <w:p>
      <w:pPr>
        <w:spacing w:after="180"/>
      </w:pPr>
      <w:r>
        <w:rPr>
          <w:rFonts w:ascii="Georgia" w:cs="Georgia" w:eastAsia="Georgia" w:hAnsi="Georgia"/>
          <w:b w:val="false"/>
          <w:bCs w:val="false"/>
          <w:i w:val="false"/>
          <w:iCs w:val="false"/>
          <w:sz w:val="24"/>
          <w:szCs w:val="24"/>
        </w:rPr>
        <w:t xml:space="preserve">Bisk et al. (2020). PIQA. AAAI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2026-03-10T01:33:51.436Z</dcterms:created>
  <dcterms:modified xsi:type="dcterms:W3CDTF">2026-03-10T01:33:51.437Z</dcterms:modified>
</cp:coreProperties>
</file>

<file path=docProps/custom.xml><?xml version="1.0" encoding="utf-8"?>
<Properties xmlns="http://schemas.openxmlformats.org/officeDocument/2006/custom-properties" xmlns:vt="http://schemas.openxmlformats.org/officeDocument/2006/docPropsVTypes"/>
</file>