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Georgia" w:cs="Georgia" w:eastAsia="Georgia" w:hAnsi="Georgia"/>
          <w:b/>
          <w:bCs/>
          <w:sz w:val="40"/>
          <w:szCs w:val="40"/>
        </w:rPr>
        <w:t xml:space="preserve">Static Image Reconstruction Is Uniquely Aligned with Language Models: A 2×2 Analysis of Visual Encoder Training</w:t>
      </w:r>
    </w:p>
    <w:p>
      <w:pPr>
        <w:spacing w:after="240"/>
      </w:pPr>
      <w:r>
        <w:rPr>
          <w:rFonts w:ascii="Arial" w:cs="Arial" w:eastAsia="Arial" w:hAnsi="Arial"/>
          <w:i/>
          <w:iCs/>
          <w:color w:val="555555"/>
          <w:sz w:val="20"/>
          <w:szCs w:val="20"/>
        </w:rPr>
        <w:t xml:space="preserve">Research Note · 15 Experiments · 4 LLMs · 6 Visual Models · 61 Physical Concepts · March 2026</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Abstract</w:t>
      </w:r>
    </w:p>
    <w:p>
      <w:pPr>
        <w:spacing w:after="180"/>
      </w:pPr>
      <w:r>
        <w:rPr>
          <w:rFonts w:ascii="Georgia" w:cs="Georgia" w:eastAsia="Georgia" w:hAnsi="Georgia"/>
          <w:b w:val="false"/>
          <w:bCs w:val="false"/>
          <w:sz w:val="24"/>
          <w:szCs w:val="24"/>
        </w:rPr>
        <w:t xml:space="preserve">We investigate what determines how well a visual encoder's representations align with language models. Across 15 experiments, we test five visual encoders spanning a 2×2 design: image vs. video training data, and reconstruction vs. non-reconstruction training objective. The central finding is that static image reconstruction (MAE) produces uniquely high language model alignment (~24% average codebook agreement), while all other conditions—image distillation (DINOv2, ~15%), image-text contrastive (CLIP, ~15%), video reconstruction (VideoMAE-K400 ~13%, VideoMAE-SSv2 ~13%), and video temporal prediction (V-JEPA 2, ~12%)—cluster at substantially lower levels. The two-factor structure reveals an interaction: neither image training alone nor reconstruction alone is sufficient. DINOv2 (image, distillation) clusters with CLIP rather than MAE; VideoMAE (video, reconstruction) clusters with V-JEPA 2 rather than MAE. Only the combination of static image training with reconstruction objective achieves high language model alignment. This pattern replicates across 4/4 language model architectures and scales, and holds for both object and process concepts. We interpret the result as evidence that pixel-level reconstruction of static scenes induces compositional, part-structured representations that match the token-by-token structure of language—an objective not achieved by holistic contrastive or distillation training, and disrupted when the training signal includes temporal dynamics.</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1. Introduction</w:t>
      </w:r>
    </w:p>
    <w:p>
      <w:pPr>
        <w:spacing w:after="180"/>
      </w:pPr>
      <w:r>
        <w:rPr>
          <w:rFonts w:ascii="Georgia" w:cs="Georgia" w:eastAsia="Georgia" w:hAnsi="Georgia"/>
          <w:b w:val="false"/>
          <w:bCs w:val="false"/>
          <w:sz w:val="24"/>
          <w:szCs w:val="24"/>
        </w:rPr>
        <w:t xml:space="preserve">Can a language model and a world model share a vocabulary? By vocabulary, we mean discrete symbolic codes—a shared representational bottleneck through which both models agree that a given physical event belongs to a particular category.</w:t>
      </w:r>
    </w:p>
    <w:p>
      <w:pPr>
        <w:spacing w:after="180"/>
      </w:pPr>
      <w:r>
        <w:rPr>
          <w:rFonts w:ascii="Georgia" w:cs="Georgia" w:eastAsia="Georgia" w:hAnsi="Georgia"/>
          <w:b w:val="false"/>
          <w:bCs w:val="false"/>
          <w:sz w:val="24"/>
          <w:szCs w:val="24"/>
        </w:rPr>
        <w:t xml:space="preserve">We begin with a diagnostic: do language models and visual models produce similar representational geometries over physical concepts? If yes, a shared codebook emerges naturally. If no, the structure of the failure reveals what is missing.</w:t>
      </w:r>
    </w:p>
    <w:p>
      <w:pPr>
        <w:spacing w:after="180"/>
      </w:pPr>
      <w:r>
        <w:rPr>
          <w:rFonts w:ascii="Georgia" w:cs="Georgia" w:eastAsia="Georgia" w:hAnsi="Georgia"/>
          <w:b w:val="false"/>
          <w:bCs w:val="false"/>
          <w:sz w:val="24"/>
          <w:szCs w:val="24"/>
        </w:rPr>
        <w:t xml:space="preserve">The experiments proceed as a series of hypothesis tests. We state a hypothesis, run an experiment, observe a result that falsifies or qualifies the hypothesis, and revise. Three previous hypotheses were falsified before arriving at the current finding.</w:t>
      </w:r>
    </w:p>
    <w:p>
      <w:pPr>
        <w:spacing w:after="180"/>
      </w:pPr>
      <w:r>
        <w:rPr>
          <w:rFonts w:ascii="Georgia" w:cs="Georgia" w:eastAsia="Georgia" w:hAnsi="Georgia"/>
          <w:b w:val="false"/>
          <w:bCs w:val="false"/>
          <w:sz w:val="24"/>
          <w:szCs w:val="24"/>
        </w:rPr>
        <w:t xml:space="preserve">Previous hypotheses falsified:</w:t>
      </w:r>
    </w:p>
    <w:p>
      <w:pPr>
        <w:pStyle w:val="ListParagraph"/>
        <w:numPr>
          <w:ilvl w:val="0"/>
          <w:numId w:val="2"/>
        </w:numPr>
        <w:spacing w:after="100"/>
      </w:pPr>
      <w:r>
        <w:rPr>
          <w:rFonts w:ascii="Georgia" w:cs="Georgia" w:eastAsia="Georgia" w:hAnsi="Georgia"/>
          <w:sz w:val="24"/>
          <w:szCs w:val="24"/>
        </w:rPr>
        <w:t xml:space="preserve">Modality gap hypothesis: MAE (purely visual, no language supervision) aligns most strongly with LMs—not V-JEPA 2. Falsified.</w:t>
      </w:r>
    </w:p>
    <w:p>
      <w:pPr>
        <w:pStyle w:val="ListParagraph"/>
        <w:numPr>
          <w:ilvl w:val="0"/>
          <w:numId w:val="2"/>
        </w:numPr>
        <w:spacing w:after="100"/>
      </w:pPr>
      <w:r>
        <w:rPr>
          <w:rFonts w:ascii="Georgia" w:cs="Georgia" w:eastAsia="Georgia" w:hAnsi="Georgia"/>
          <w:sz w:val="24"/>
          <w:szCs w:val="24"/>
        </w:rPr>
        <w:t xml:space="preserve">Supervision-type hypothesis: CLIP-text (language-supervised) does not align more strongly with LMs than MAE (self-supervised). Falsified.</w:t>
      </w:r>
    </w:p>
    <w:p>
      <w:pPr>
        <w:pStyle w:val="ListParagraph"/>
        <w:numPr>
          <w:ilvl w:val="0"/>
          <w:numId w:val="2"/>
        </w:numPr>
        <w:spacing w:after="200"/>
      </w:pPr>
      <w:r>
        <w:rPr>
          <w:rFonts w:ascii="Georgia" w:cs="Georgia" w:eastAsia="Georgia" w:hAnsi="Georgia"/>
          <w:sz w:val="24"/>
          <w:szCs w:val="24"/>
        </w:rPr>
        <w:t xml:space="preserve">Temporal dynamics hypothesis: VideoMAE (video reconstruction, same objective as MAE but on video) aligns LOW like V-JEPA 2, not HIGH like MAE. This falsifies the temporal dynamics framing and points to an interaction between training data and objective.</w:t>
      </w:r>
    </w:p>
    <w:p>
      <w:pPr>
        <w:spacing w:after="180"/>
      </w:pPr>
      <w:r>
        <w:rPr>
          <w:rFonts w:ascii="Georgia" w:cs="Georgia" w:eastAsia="Georgia" w:hAnsi="Georgia"/>
          <w:b w:val="false"/>
          <w:bCs w:val="false"/>
          <w:sz w:val="24"/>
          <w:szCs w:val="24"/>
        </w:rPr>
        <w:t xml:space="preserve">Current finding: Neither image data nor reconstruction objective alone explains the pattern. Only their combination—static image reconstruction—produces high language model alignment.</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2–8. Prior Experiments (Summary)</w:t>
      </w:r>
    </w:p>
    <w:p>
      <w:pPr>
        <w:spacing w:after="180"/>
      </w:pPr>
      <w:r>
        <w:rPr>
          <w:rFonts w:ascii="Georgia" w:cs="Georgia" w:eastAsia="Georgia" w:hAnsi="Georgia"/>
          <w:b w:val="false"/>
          <w:bCs w:val="false"/>
          <w:sz w:val="24"/>
          <w:szCs w:val="24"/>
        </w:rPr>
        <w:t xml:space="preserve">Experiments 1–12 established the core toolchain and initial findings. Key results:</w:t>
      </w:r>
    </w:p>
    <w:p>
      <w:pPr>
        <w:pStyle w:val="ListParagraph"/>
        <w:numPr>
          <w:ilvl w:val="0"/>
          <w:numId w:val="2"/>
        </w:numPr>
        <w:spacing w:after="100"/>
      </w:pPr>
      <w:r>
        <w:rPr>
          <w:rFonts w:ascii="Georgia" w:cs="Georgia" w:eastAsia="Georgia" w:hAnsi="Georgia"/>
          <w:sz w:val="24"/>
          <w:szCs w:val="24"/>
        </w:rPr>
        <w:t xml:space="preserve">RSA diagnostic: Cross-modal correlation r=+0.325 (Mistral vs CLIP) is a category artifact. Collapses to r=+0.039 on physical concepts only.</w:t>
      </w:r>
    </w:p>
    <w:p>
      <w:pPr>
        <w:pStyle w:val="ListParagraph"/>
        <w:numPr>
          <w:ilvl w:val="0"/>
          <w:numId w:val="2"/>
        </w:numPr>
        <w:spacing w:after="100"/>
      </w:pPr>
      <w:r>
        <w:rPr>
          <w:rFonts w:ascii="Georgia" w:cs="Georgia" w:eastAsia="Georgia" w:hAnsi="Georgia"/>
          <w:sz w:val="24"/>
          <w:szCs w:val="24"/>
        </w:rPr>
        <w:t xml:space="preserve">Codebook collapse: Without contrastive supervision, shared codebooks collapse to 2 codes. Contrastive loss (λ=0.5) achieves 99% ±2% agreement, 15.6 ±1.4 active codes.</w:t>
      </w:r>
    </w:p>
    <w:p>
      <w:pPr>
        <w:pStyle w:val="ListParagraph"/>
        <w:numPr>
          <w:ilvl w:val="0"/>
          <w:numId w:val="2"/>
        </w:numPr>
        <w:spacing w:after="100"/>
      </w:pPr>
      <w:r>
        <w:rPr>
          <w:rFonts w:ascii="Georgia" w:cs="Georgia" w:eastAsia="Georgia" w:hAnsi="Georgia"/>
          <w:sz w:val="24"/>
          <w:szCs w:val="24"/>
        </w:rPr>
        <w:t xml:space="preserve">Generalization: 91.8% test agreement on held-out concepts (batch-balanced). Codebook learns transferable structure.</w:t>
      </w:r>
    </w:p>
    <w:p>
      <w:pPr>
        <w:pStyle w:val="ListParagraph"/>
        <w:numPr>
          <w:ilvl w:val="0"/>
          <w:numId w:val="2"/>
        </w:numPr>
        <w:spacing w:after="100"/>
      </w:pPr>
      <w:r>
        <w:rPr>
          <w:rFonts w:ascii="Georgia" w:cs="Georgia" w:eastAsia="Georgia" w:hAnsi="Georgia"/>
          <w:sz w:val="24"/>
          <w:szCs w:val="24"/>
        </w:rPr>
        <w:t xml:space="preserve">Phrase-level grounding (61 concepts, 323 events): Train 88.5%, test 89.5%, gap −1.0%. Phrase-level extraction resolves polysemy.</w:t>
      </w:r>
    </w:p>
    <w:p>
      <w:pPr>
        <w:pStyle w:val="ListParagraph"/>
        <w:numPr>
          <w:ilvl w:val="0"/>
          <w:numId w:val="2"/>
        </w:numPr>
        <w:spacing w:after="100"/>
      </w:pPr>
      <w:r>
        <w:rPr>
          <w:rFonts w:ascii="Georgia" w:cs="Georgia" w:eastAsia="Georgia" w:hAnsi="Georgia"/>
          <w:sz w:val="24"/>
          <w:szCs w:val="24"/>
        </w:rPr>
        <w:t xml:space="preserve">Multimodal probe: MAE (48.8%) &gt; CLIP-text (44.4%) &gt; V-JEPA 2 (40.6%). MAE—self-supervised, no language—aligns most with LMs.</w:t>
      </w:r>
    </w:p>
    <w:p>
      <w:pPr>
        <w:pStyle w:val="ListParagraph"/>
        <w:numPr>
          <w:ilvl w:val="0"/>
          <w:numId w:val="2"/>
        </w:numPr>
        <w:spacing w:after="100"/>
      </w:pPr>
      <w:r>
        <w:rPr>
          <w:rFonts w:ascii="Georgia" w:cs="Georgia" w:eastAsia="Georgia" w:hAnsi="Georgia"/>
          <w:sz w:val="24"/>
          <w:szCs w:val="24"/>
        </w:rPr>
        <w:t xml:space="preserve">PIQA downstream: World model context hurts (−6.6%). Sense mismatch on polysemous concepts. Interface must be differentiable, not text-mediated.</w:t>
      </w:r>
    </w:p>
    <w:p>
      <w:pPr>
        <w:pStyle w:val="ListParagraph"/>
        <w:numPr>
          <w:ilvl w:val="0"/>
          <w:numId w:val="2"/>
        </w:numPr>
        <w:spacing w:after="200"/>
      </w:pPr>
      <w:r>
        <w:rPr>
          <w:rFonts w:ascii="Georgia" w:cs="Georgia" w:eastAsia="Georgia" w:hAnsi="Georgia"/>
          <w:sz w:val="24"/>
          <w:szCs w:val="24"/>
        </w:rPr>
        <w:t xml:space="preserve">Process concept probe (Exp 13): VIS–MAE drops 10% on process concepts. V-JEPA 2 diverges from MAE specifically on dynamics-defined concepts.</w:t>
      </w:r>
    </w:p>
    <w:p>
      <w:pPr>
        <w:spacing w:after="180"/>
      </w:pPr>
      <w:r>
        <w:rPr>
          <w:rFonts w:ascii="Georgia" w:cs="Georgia" w:eastAsia="Georgia" w:hAnsi="Georgia"/>
          <w:b w:val="false"/>
          <w:bCs w:val="false"/>
          <w:sz w:val="24"/>
          <w:szCs w:val="24"/>
        </w:rPr>
        <w:t xml:space="preserve">Experiment 14 (cross-architecture replication): 4/4 LLMs (Mistral-7B, Qwen2.5-7B, Llama-3.1-8B, Qwen2.5-32B) replicate MAE &gt; CLIP &gt; V-JEPA 2. This led to the hypothesis that image training generically drives high alignment—falsified in Experiment 15.</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9. Experiment 15: 2×2 Visual Model Design</w:t>
      </w:r>
    </w:p>
    <w:p>
      <w:pPr>
        <w:pStyle w:val="Heading2"/>
        <w:spacing w:before="280" w:after="140"/>
      </w:pPr>
      <w:r>
        <w:rPr>
          <w:rFonts w:ascii="Arial" w:cs="Arial" w:eastAsia="Arial" w:hAnsi="Arial"/>
          <w:b/>
          <w:bCs/>
          <w:sz w:val="24"/>
          <w:szCs w:val="24"/>
        </w:rPr>
        <w:t xml:space="preserve">9.1 Motivation</w:t>
      </w:r>
    </w:p>
    <w:p>
      <w:pPr>
        <w:spacing w:after="180"/>
      </w:pPr>
      <w:r>
        <w:rPr>
          <w:rFonts w:ascii="Georgia" w:cs="Georgia" w:eastAsia="Georgia" w:hAnsi="Georgia"/>
          <w:b w:val="false"/>
          <w:bCs w:val="false"/>
          <w:sz w:val="24"/>
          <w:szCs w:val="24"/>
        </w:rPr>
        <w:t xml:space="preserve">After Experiment 14, the working hypothesis was: image training produces high LM alignment, video training produces low LM alignment. This hypothesis was not yet tested—all four LLMs had been compared only to three visual models (MAE, CLIP, V-JEPA 2), all of which differ in both training data and objective simultaneously.</w:t>
      </w:r>
    </w:p>
    <w:p>
      <w:pPr>
        <w:spacing w:after="180"/>
      </w:pPr>
      <w:r>
        <w:rPr>
          <w:rFonts w:ascii="Georgia" w:cs="Georgia" w:eastAsia="Georgia" w:hAnsi="Georgia"/>
          <w:b w:val="false"/>
          <w:bCs w:val="false"/>
          <w:sz w:val="24"/>
          <w:szCs w:val="24"/>
        </w:rPr>
        <w:t xml:space="preserve">Experiment 15 adds three models to create a factorial design:</w:t>
      </w:r>
    </w:p>
    <w:p>
      <w:pPr>
        <w:pStyle w:val="ListParagraph"/>
        <w:numPr>
          <w:ilvl w:val="0"/>
          <w:numId w:val="2"/>
        </w:numPr>
        <w:spacing w:after="100"/>
      </w:pPr>
      <w:r>
        <w:rPr>
          <w:rFonts w:ascii="Georgia" w:cs="Georgia" w:eastAsia="Georgia" w:hAnsi="Georgia"/>
          <w:sz w:val="24"/>
          <w:szCs w:val="24"/>
        </w:rPr>
        <w:t xml:space="preserve">DINOv2-Large (image, self-distillation): Image-trained but non-reconstruction. Tests whether image data alone drives high alignment.</w:t>
      </w:r>
    </w:p>
    <w:p>
      <w:pPr>
        <w:pStyle w:val="ListParagraph"/>
        <w:numPr>
          <w:ilvl w:val="0"/>
          <w:numId w:val="2"/>
        </w:numPr>
        <w:spacing w:after="100"/>
      </w:pPr>
      <w:r>
        <w:rPr>
          <w:rFonts w:ascii="Georgia" w:cs="Georgia" w:eastAsia="Georgia" w:hAnsi="Georgia"/>
          <w:sz w:val="24"/>
          <w:szCs w:val="24"/>
        </w:rPr>
        <w:t xml:space="preserve">VideoMAE-K400-Large (video, reconstruction): Reconstruction objective but on Kinetics-400 video. Tests whether reconstruction alone drives high alignment.</w:t>
      </w:r>
    </w:p>
    <w:p>
      <w:pPr>
        <w:pStyle w:val="ListParagraph"/>
        <w:numPr>
          <w:ilvl w:val="0"/>
          <w:numId w:val="2"/>
        </w:numPr>
        <w:spacing w:after="200"/>
      </w:pPr>
      <w:r>
        <w:rPr>
          <w:rFonts w:ascii="Georgia" w:cs="Georgia" w:eastAsia="Georgia" w:hAnsi="Georgia"/>
          <w:sz w:val="24"/>
          <w:szCs w:val="24"/>
        </w:rPr>
        <w:t xml:space="preserve">VideoMAE-SSv2-Base (video, reconstruction, high temporal content): Reconstruction on Something-Something v2, which emphasizes relational physical dynamics. Tests whether temporal content within video further modulates alignment.</w:t>
      </w:r>
    </w:p>
    <w:p>
      <w:pPr>
        <w:pStyle w:val="Heading2"/>
        <w:spacing w:before="280" w:after="140"/>
      </w:pPr>
      <w:r>
        <w:rPr>
          <w:rFonts w:ascii="Arial" w:cs="Arial" w:eastAsia="Arial" w:hAnsi="Arial"/>
          <w:b/>
          <w:bCs/>
          <w:sz w:val="24"/>
          <w:szCs w:val="24"/>
        </w:rPr>
        <w:t xml:space="preserve">9.2 Results</w:t>
      </w:r>
    </w:p>
    <w:p>
      <w:pPr>
        <w:spacing w:after="180"/>
      </w:pPr>
      <w:r>
        <w:rPr>
          <w:rFonts w:ascii="Georgia" w:cs="Georgia" w:eastAsia="Georgia" w:hAnsi="Georgia"/>
          <w:b w:val="false"/>
          <w:bCs w:val="false"/>
          <w:sz w:val="24"/>
          <w:szCs w:val="24"/>
        </w:rPr>
        <w:t xml:space="preserve">LM alignment (codebook agreement, test split) for all 6 visual models across 4 LLMs: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400"/>
        <w:gridCol w:w="1400"/>
        <w:gridCol w:w="1400"/>
        <w:gridCol w:w="1400"/>
        <w:gridCol w:w="1400"/>
        <w:gridCol w:w="800"/>
      </w:tblGrid>
      <w:tr>
        <w:tc>
          <w:tcPr>
            <w:tcW w:type="dxa" w:w="1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LLM</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MAE</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DINOv2</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VideoMAE-K400</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VideoMAE-SSv2</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V-JEPA2</w:t>
            </w:r>
          </w:p>
        </w:tc>
        <w:tc>
          <w:tcPr>
            <w:tcW w:type="dxa" w:w="8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CLIP</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Mistral-7B</w:t>
            </w:r>
          </w:p>
        </w:tc>
        <w:tc>
          <w:tcPr>
            <w:tcW w:type="dxa" w:w="1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17.7%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13.1%</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12.9%</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15.2%</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Qwen2.5-7B</w:t>
            </w:r>
          </w:p>
        </w:tc>
        <w:tc>
          <w:tcPr>
            <w:tcW w:type="dxa" w:w="1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32.0%</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13.8%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16.9%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11.1%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12.3%</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Llama-3.1-8B</w:t>
            </w:r>
          </w:p>
        </w:tc>
        <w:tc>
          <w:tcPr>
            <w:tcW w:type="dxa" w:w="1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20.6%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15.4%</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12.2%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17.5%</w:t>
            </w:r>
          </w:p>
        </w:tc>
      </w:tr>
      <w:tr>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Qwen2.5-32B</w:t>
            </w:r>
          </w:p>
        </w:tc>
        <w:tc>
          <w:tcPr>
            <w:tcW w:type="dxa" w:w="1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25.2%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15.8%</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13.2%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10.2%</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10.9%</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15.7%</w:t>
            </w:r>
          </w:p>
        </w:tc>
      </w:tr>
      <w:tr>
        <w:tc>
          <w:tcPr>
            <w:tcW w:type="dxa" w:w="15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Average</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~24%</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~15%</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~13%</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~13%</w:t>
            </w:r>
          </w:p>
        </w:tc>
        <w:tc>
          <w:tcPr>
            <w:tcW w:type="dxa" w:w="1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~13%</w:t>
            </w:r>
          </w:p>
        </w:tc>
        <w:tc>
          <w:tcPr>
            <w:tcW w:type="dxa" w:w="8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~15%</w:t>
            </w:r>
          </w:p>
        </w:tc>
      </w:tr>
    </w:tbl>
    <w:p>
      <w:pPr>
        <w:spacing w:before="160" w:after="200"/>
      </w:pPr>
      <w:r>
        <w:rPr>
          <w:rFonts w:ascii="Arial" w:cs="Arial" w:eastAsia="Arial" w:hAnsi="Arial"/>
          <w:i/>
          <w:iCs/>
          <w:color w:val="555555"/>
          <w:sz w:val="20"/>
          <w:szCs w:val="20"/>
        </w:rPr>
        <w:t xml:space="preserve">MAE highlighted. Codebook agreement = fraction of held-out concepts where LM and visual model assign same discrete code.</w:t>
      </w:r>
    </w:p>
    <w:p>
      <w:pPr>
        <w:pStyle w:val="Heading2"/>
        <w:spacing w:before="280" w:after="140"/>
      </w:pPr>
      <w:r>
        <w:rPr>
          <w:rFonts w:ascii="Arial" w:cs="Arial" w:eastAsia="Arial" w:hAnsi="Arial"/>
          <w:b/>
          <w:bCs/>
          <w:sz w:val="24"/>
          <w:szCs w:val="24"/>
        </w:rPr>
        <w:t xml:space="preserve">9.3 2×2 Factorial Structure</w:t>
      </w:r>
    </w:p>
    <w:p>
      <w:pPr>
        <w:spacing w:after="180"/>
      </w:pPr>
      <w:r>
        <w:rPr>
          <w:rFonts w:ascii="Georgia" w:cs="Georgia" w:eastAsia="Georgia" w:hAnsi="Georgia"/>
          <w:b w:val="false"/>
          <w:bCs w:val="false"/>
          <w:sz w:val="24"/>
          <w:szCs w:val="24"/>
        </w:rPr>
        <w:t xml:space="preserve">The results form a clear factorial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60"/>
      </w:tblGrid>
      <w:tr>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Model</w:t>
            </w:r>
          </w:p>
        </w:tc>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Data</w:t>
            </w:r>
          </w:p>
        </w:tc>
        <w:tc>
          <w:tcPr>
            <w:tcW w:type="dxa" w:w="24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Objective</w:t>
            </w:r>
          </w:p>
        </w:tc>
        <w:tc>
          <w:tcPr>
            <w:tcW w:type="dxa" w:w="21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LM Alignment</w:t>
            </w:r>
          </w:p>
        </w:tc>
      </w:tr>
      <w:tr>
        <w:tc>
          <w:tcPr>
            <w:tcW w:type="dxa" w:w="2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MAE</w:t>
            </w:r>
          </w:p>
        </w:tc>
        <w:tc>
          <w:tcPr>
            <w:tcW w:type="dxa" w:w="2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Images</w:t>
            </w:r>
          </w:p>
        </w:tc>
        <w:tc>
          <w:tcPr>
            <w:tcW w:type="dxa" w:w="240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Reconstruction</w:t>
            </w:r>
          </w:p>
        </w:tc>
        <w:tc>
          <w:tcPr>
            <w:tcW w:type="dxa" w:w="2160"/>
            <w:tcBorders>
              <w:top w:val="single" w:color="CCCCCC" w:sz="1"/>
              <w:left w:val="single" w:color="CCCCCC" w:sz="1"/>
              <w:bottom w:val="single" w:color="CCCCCC" w:sz="1"/>
              <w:right w:val="single" w:color="CCCCCC" w:sz="1"/>
            </w:tcBorders>
            <w:shd w:fill="eff6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~24%  ← HIGH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DINOv2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Images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Distillation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  medium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CLIP</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Images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Contrastive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~15%  medium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VideoMAE-K400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Video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Reconstruction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~13%  low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VideoMAE-SSv2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Video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Reconstruction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~13%  low</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V-JEPA 2</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Video</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Temporal predict</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~12%  low</w:t>
            </w:r>
          </w:p>
        </w:tc>
      </w:tr>
    </w:tbl>
    <w:p>
      <w:pPr>
        <w:spacing w:before="160" w:after="200"/>
      </w:pPr>
      <w:r>
        <w:rPr>
          <w:rFonts w:ascii="Arial" w:cs="Arial" w:eastAsia="Arial" w:hAnsi="Arial"/>
          <w:i/>
          <w:iCs/>
          <w:color w:val="555555"/>
          <w:sz w:val="20"/>
          <w:szCs w:val="20"/>
        </w:rPr>
        <w:t xml:space="preserve">Neither image data nor reconstruction objective alone is sufficient. Only their combination produces high LM alignment.</w:t>
      </w:r>
    </w:p>
    <w:p>
      <w:pPr>
        <w:pStyle w:val="Heading2"/>
        <w:spacing w:before="280" w:after="140"/>
      </w:pPr>
      <w:r>
        <w:rPr>
          <w:rFonts w:ascii="Arial" w:cs="Arial" w:eastAsia="Arial" w:hAnsi="Arial"/>
          <w:b/>
          <w:bCs/>
          <w:sz w:val="24"/>
          <w:szCs w:val="24"/>
        </w:rPr>
        <w:t xml:space="preserve">9.4 Key Pairwise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Comparison</w:t>
            </w:r>
          </w:p>
        </w:tc>
        <w:tc>
          <w:tcPr>
            <w:tcW w:type="dxa" w:w="300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What it isolates</w:t>
            </w:r>
          </w:p>
        </w:tc>
        <w:tc>
          <w:tcPr>
            <w:tcW w:type="dxa" w:w="4160"/>
            <w:tcBorders>
              <w:top w:val="single" w:color="CCCCCC" w:sz="1"/>
              <w:left w:val="single" w:color="CCCCCC" w:sz="1"/>
              <w:bottom w:val="single" w:color="CCCCCC" w:sz="1"/>
              <w:right w:val="single" w:color="CCCCCC" w:sz="1"/>
            </w:tcBorders>
            <w:shd w:fill="f1f5f9" w:val="clear"/>
            <w:tcMar>
              <w:top w:type="dxa" w:w="80"/>
              <w:left w:type="dxa" w:w="120"/>
              <w:bottom w:type="dxa" w:w="80"/>
              <w:right w:type="dxa" w:w="120"/>
            </w:tcMar>
            <w:vAlign w:val="center"/>
          </w:tcPr>
          <w:p>
            <w:pPr>
              <w:jc w:val="left"/>
            </w:pPr>
            <w:r>
              <w:rPr>
                <w:rFonts w:ascii="Arial" w:cs="Arial" w:eastAsia="Arial" w:hAnsi="Arial"/>
                <w:b/>
                <w:bCs/>
                <w:sz w:val="18"/>
                <w:szCs w:val="18"/>
              </w:rPr>
              <w:t xml:space="preserve">Result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MAE vs DINOv2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Objective (image data held fixed)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MAE ~24% vs DINOv2 ~15% → reconstruction produces higher alignment than distillation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MAE vs VideoMAE-K400</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Data (reconstruction held fixed)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MAE ~24% vs VideoMAE ~13% → image data produces higher alignment than video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VideoMAE-K400 vs SSv2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Temporal content (reconstruction + video fixed)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K400 ~13% ≈ SSv2 ~13% → temporal richness within video doesn't further change alignment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VideoMAE-SSv2 vs V-JEPA2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Objective (temporal video data fixed)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SSv2 ~13% ≈ V-JEPA2 ~12% → temporal prediction vs reconstruction negligible once video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DINOv2 vs VideoMAE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Data (non-reconstruction objective fixed)</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sz w:val="18"/>
                <w:szCs w:val="18"/>
              </w:rPr>
              <w:t xml:space="preserve">DINOv2 ~15% vs VideoMAE ~13% → small image advantage even without reconstruction</w:t>
            </w:r>
          </w:p>
        </w:tc>
      </w:tr>
    </w:tbl>
    <w:p>
      <w:pPr>
        <w:spacing w:before="160" w:after="200"/>
      </w:pPr>
      <w:r>
        <w:rPr>
          <w:rFonts w:ascii="Arial" w:cs="Arial" w:eastAsia="Arial" w:hAnsi="Arial"/>
          <w:i/>
          <w:iCs/>
          <w:color w:val="555555"/>
          <w:sz w:val="20"/>
          <w:szCs w:val="20"/>
        </w:rPr>
        <w:t xml:space="preserve">The MAE vs DINOv2 and MAE vs VideoMAE comparisons are the diagnostic contrasts. Both confirm an interaction: reconstruction on static images, not either factor alone, drives the result.</w:t>
      </w:r>
    </w:p>
    <w:p>
      <w:pPr>
        <w:pStyle w:val="Heading2"/>
        <w:spacing w:before="280" w:after="140"/>
      </w:pPr>
      <w:r>
        <w:rPr>
          <w:rFonts w:ascii="Arial" w:cs="Arial" w:eastAsia="Arial" w:hAnsi="Arial"/>
          <w:b/>
          <w:bCs/>
          <w:sz w:val="24"/>
          <w:szCs w:val="24"/>
        </w:rPr>
        <w:t xml:space="preserve">9.5 Interpretation</w:t>
      </w:r>
    </w:p>
    <w:p>
      <w:pPr>
        <w:spacing w:after="180"/>
      </w:pPr>
      <w:r>
        <w:rPr>
          <w:rFonts w:ascii="Georgia" w:cs="Georgia" w:eastAsia="Georgia" w:hAnsi="Georgia"/>
          <w:b w:val="false"/>
          <w:bCs w:val="false"/>
          <w:sz w:val="24"/>
          <w:szCs w:val="24"/>
        </w:rPr>
        <w:t xml:space="preserve">The two-factor interaction is the key result. Consider the three possible single-factor explanations:</w:t>
      </w:r>
    </w:p>
    <w:p>
      <w:pPr>
        <w:pStyle w:val="ListParagraph"/>
        <w:numPr>
          <w:ilvl w:val="0"/>
          <w:numId w:val="2"/>
        </w:numPr>
        <w:spacing w:after="100"/>
      </w:pPr>
      <w:r>
        <w:rPr>
          <w:rFonts w:ascii="Georgia" w:cs="Georgia" w:eastAsia="Georgia" w:hAnsi="Georgia"/>
          <w:sz w:val="24"/>
          <w:szCs w:val="24"/>
        </w:rPr>
        <w:t xml:space="preserve">Image training alone: Falsified by DINOv2. DINOv2 is image-trained (ViT-L, same architecture as MAE) but clusters at ~15%, indistinguishable from CLIP.</w:t>
      </w:r>
    </w:p>
    <w:p>
      <w:pPr>
        <w:pStyle w:val="ListParagraph"/>
        <w:numPr>
          <w:ilvl w:val="0"/>
          <w:numId w:val="2"/>
        </w:numPr>
        <w:spacing w:after="100"/>
      </w:pPr>
      <w:r>
        <w:rPr>
          <w:rFonts w:ascii="Georgia" w:cs="Georgia" w:eastAsia="Georgia" w:hAnsi="Georgia"/>
          <w:sz w:val="24"/>
          <w:szCs w:val="24"/>
        </w:rPr>
        <w:t xml:space="preserve">Reconstruction alone: Falsified by VideoMAE. VideoMAE uses masked token reconstruction but on video—it clusters at ~13%, indistinguishable from V-JEPA 2.</w:t>
      </w:r>
    </w:p>
    <w:p>
      <w:pPr>
        <w:pStyle w:val="ListParagraph"/>
        <w:numPr>
          <w:ilvl w:val="0"/>
          <w:numId w:val="2"/>
        </w:numPr>
        <w:spacing w:after="200"/>
      </w:pPr>
      <w:r>
        <w:rPr>
          <w:rFonts w:ascii="Georgia" w:cs="Georgia" w:eastAsia="Georgia" w:hAnsi="Georgia"/>
          <w:sz w:val="24"/>
          <w:szCs w:val="24"/>
        </w:rPr>
        <w:t xml:space="preserve">Temporal dynamics alone: Partially supported as the difference between video and non-reconstruction image models (~13% vs ~15%) is small. The large gap is between MAE and everything else.</w:t>
      </w:r>
    </w:p>
    <w:p>
      <w:pPr>
        <w:spacing w:after="180"/>
      </w:pPr>
      <w:r>
        <w:rPr>
          <w:rFonts w:ascii="Georgia" w:cs="Georgia" w:eastAsia="Georgia" w:hAnsi="Georgia"/>
          <w:b w:val="false"/>
          <w:bCs w:val="false"/>
          <w:sz w:val="24"/>
          <w:szCs w:val="24"/>
        </w:rPr>
        <w:t xml:space="preserve">What is special about static image reconstruction? Pixel-level reconstruction of every spatial token forces the encoder to maintain part-level, compositional representations—each patch must be recoverable from its latent code. This creates a representational geometry where objects are encoded as collections of describable parts, which matches the structure of natural language. Contrastive and distillation training optimize for view-invariant, holistic features that collapse this compositional structure. Video training introduces temporal entanglement: representations must encode not just what is present but how it will evolve, which changes which dimensions the encoder is forced to maintain.</w:t>
      </w:r>
    </w:p>
    <w:p>
      <w:pPr>
        <w:spacing w:after="180"/>
      </w:pPr>
      <w:r>
        <w:rPr>
          <w:rFonts w:ascii="Georgia" w:cs="Georgia" w:eastAsia="Georgia" w:hAnsi="Georgia"/>
          <w:b w:val="false"/>
          <w:bCs w:val="false"/>
          <w:sz w:val="24"/>
          <w:szCs w:val="24"/>
        </w:rPr>
        <w:t xml:space="preserve">Language models are trained on token sequences. Each token is a discrete unit—a word or subword—and the training objective is to predict the next token given the previous. This is structurally similar to MAE's patch-by-patch reconstruction: both objectives require maintaining fine-grained, compositional representations where each element is individually recoverable. The geometric consequence is that both MAE and LMs organize concept space by compositional part structure, making their representational geometries commensurable.</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10. Cross-Architecture Replication</w:t>
      </w:r>
    </w:p>
    <w:p>
      <w:pPr>
        <w:spacing w:after="180"/>
      </w:pPr>
      <w:r>
        <w:rPr>
          <w:rFonts w:ascii="Georgia" w:cs="Georgia" w:eastAsia="Georgia" w:hAnsi="Georgia"/>
          <w:b w:val="false"/>
          <w:bCs w:val="false"/>
          <w:sz w:val="24"/>
          <w:szCs w:val="24"/>
        </w:rPr>
        <w:t xml:space="preserve">The 2×2 pattern replicates across all four language models tested:</w:t>
      </w:r>
    </w:p>
    <w:p>
      <w:pPr>
        <w:pStyle w:val="ListParagraph"/>
        <w:numPr>
          <w:ilvl w:val="0"/>
          <w:numId w:val="2"/>
        </w:numPr>
        <w:spacing w:after="100"/>
      </w:pPr>
      <w:r>
        <w:rPr>
          <w:rFonts w:ascii="Georgia" w:cs="Georgia" w:eastAsia="Georgia" w:hAnsi="Georgia"/>
          <w:sz w:val="24"/>
          <w:szCs w:val="24"/>
        </w:rPr>
        <w:t xml:space="preserve">MAE is highest for all 4 LLMs (17.7%, 32.0%, 20.6%, 25.2%)</w:t>
      </w:r>
    </w:p>
    <w:p>
      <w:pPr>
        <w:pStyle w:val="ListParagraph"/>
        <w:numPr>
          <w:ilvl w:val="0"/>
          <w:numId w:val="2"/>
        </w:numPr>
        <w:spacing w:after="100"/>
      </w:pPr>
      <w:r>
        <w:rPr>
          <w:rFonts w:ascii="Georgia" w:cs="Georgia" w:eastAsia="Georgia" w:hAnsi="Georgia"/>
          <w:sz w:val="24"/>
          <w:szCs w:val="24"/>
        </w:rPr>
        <w:t xml:space="preserve">DINOv2 and CLIP cluster at ~14–18% for all 4 LLMs</w:t>
      </w:r>
    </w:p>
    <w:p>
      <w:pPr>
        <w:pStyle w:val="ListParagraph"/>
        <w:numPr>
          <w:ilvl w:val="0"/>
          <w:numId w:val="2"/>
        </w:numPr>
        <w:spacing w:after="200"/>
      </w:pPr>
      <w:r>
        <w:rPr>
          <w:rFonts w:ascii="Georgia" w:cs="Georgia" w:eastAsia="Georgia" w:hAnsi="Georgia"/>
          <w:sz w:val="24"/>
          <w:szCs w:val="24"/>
        </w:rPr>
        <w:t xml:space="preserve">VideoMAE variants and V-JEPA 2 cluster at ~10–17% for all 4 LLMs (with higher variance for SSv2 across LLMs)</w:t>
      </w:r>
    </w:p>
    <w:p>
      <w:pPr>
        <w:spacing w:after="180"/>
      </w:pPr>
      <w:r>
        <w:rPr>
          <w:rFonts w:ascii="Georgia" w:cs="Georgia" w:eastAsia="Georgia" w:hAnsi="Georgia"/>
          <w:b w:val="false"/>
          <w:bCs w:val="false"/>
          <w:sz w:val="24"/>
          <w:szCs w:val="24"/>
        </w:rPr>
        <w:t xml:space="preserve">The MAE advantage is large enough to be unambiguous across all four LLMs. The pattern spans three model families (Mistral, Qwen, Llama), two parameter scales (7–8B and 32B), and different tokenizers and training corpora. Scaling from 7B to 32B does not close the gap.</w:t>
      </w:r>
    </w:p>
    <w:p>
      <w:pPr>
        <w:spacing w:after="180"/>
      </w:pPr>
      <w:r>
        <w:rPr>
          <w:rFonts w:ascii="Georgia" w:cs="Georgia" w:eastAsia="Georgia" w:hAnsi="Georgia"/>
          <w:b w:val="false"/>
          <w:bCs w:val="false"/>
          <w:sz w:val="24"/>
          <w:szCs w:val="24"/>
        </w:rPr>
        <w:t xml:space="preserve">One anomaly: VideoMAE-SSv2 shows higher variance across LLMs (Qwen2.5-7B gets 16.9% while Qwen2.5-32B gets 10.2%). SSv2's relational concept vocabulary (pushing, putting into, lifting) may interact differently with different LLMs' semantic representations. This warrants a footnote rather than a revision—the core pattern holds, but SSv2 behaves less stably than the other video models.</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11. Discussion</w:t>
      </w:r>
    </w:p>
    <w:p>
      <w:pPr>
        <w:spacing w:after="180"/>
      </w:pPr>
      <w:r>
        <w:rPr>
          <w:rFonts w:ascii="Georgia" w:cs="Georgia" w:eastAsia="Georgia" w:hAnsi="Georgia"/>
          <w:b w:val="false"/>
          <w:bCs w:val="false"/>
          <w:sz w:val="24"/>
          <w:szCs w:val="24"/>
        </w:rPr>
        <w:t xml:space="preserve">The representational gap between language models and visual encoders is not explained by modality (visual vs. text), supervision type (self-supervised vs. language-supervised), or temporal capacity (static vs. dynamic). It is explained by a specific combination: static image data trained with a reconstruction objective.</w:t>
      </w:r>
    </w:p>
    <w:p>
      <w:pPr>
        <w:spacing w:after="180"/>
      </w:pPr>
      <w:r>
        <w:rPr>
          <w:rFonts w:ascii="Georgia" w:cs="Georgia" w:eastAsia="Georgia" w:hAnsi="Georgia"/>
          <w:b w:val="false"/>
          <w:bCs w:val="false"/>
          <w:sz w:val="24"/>
          <w:szCs w:val="24"/>
        </w:rPr>
        <w:t xml:space="preserve">This finding has a natural interpretation in terms of what each training objective preserves. Reconstruction forces the encoder to maintain information about every spatial element—no patch can be discarded as unimportant, because any patch might be masked and must be predictable. The result is a geometry where all dimensions of a concept's structure are preserved, making it possible to find shared codes between the encoder and a language model that also maintains fine-grained, token-level structure.</w:t>
      </w:r>
    </w:p>
    <w:p>
      <w:pPr>
        <w:spacing w:after="180"/>
      </w:pPr>
      <w:r>
        <w:rPr>
          <w:rFonts w:ascii="Georgia" w:cs="Georgia" w:eastAsia="Georgia" w:hAnsi="Georgia"/>
          <w:b w:val="false"/>
          <w:bCs w:val="false"/>
          <w:sz w:val="24"/>
          <w:szCs w:val="24"/>
        </w:rPr>
        <w:t xml:space="preserve">Contrastive and distillation objectives optimize differently. They encourage representations that are invariant to augmentations—rotations, crops, color jitter—which means representations that discard the fine-grained spatial details that are preserved under reconstruction. The invariance that makes DINOv2 a powerful feature extractor for downstream tasks is the same property that makes it less commensurable with language: language maintains distinctions that contrastive vision training has learned to ignore.</w:t>
      </w:r>
    </w:p>
    <w:p>
      <w:pPr>
        <w:spacing w:after="180"/>
      </w:pPr>
      <w:r>
        <w:rPr>
          <w:rFonts w:ascii="Georgia" w:cs="Georgia" w:eastAsia="Georgia" w:hAnsi="Georgia"/>
          <w:b w:val="false"/>
          <w:bCs w:val="false"/>
          <w:sz w:val="24"/>
          <w:szCs w:val="24"/>
        </w:rPr>
        <w:t xml:space="preserve">Video training adds a further complication. Even reconstruction on video (VideoMAE) produces low LM alignment—comparable to temporal prediction (V-JEPA 2). This suggests that once training data contains temporal dynamics, the representation is organized around temporal structure in ways that diverge from language regardless of the specific objective. Notably, temporal content richness within video (K400 vs. SSv2) does not further modulate alignment, suggesting the video-language gap is not driven by how much motion or causality is present in the training data, but by the presence of video data itself.</w:t>
      </w:r>
    </w:p>
    <w:p>
      <w:pPr>
        <w:spacing w:after="180"/>
      </w:pPr>
      <w:r>
        <w:rPr>
          <w:rFonts w:ascii="Georgia" w:cs="Georgia" w:eastAsia="Georgia" w:hAnsi="Georgia"/>
          <w:b w:val="false"/>
          <w:bCs w:val="false"/>
          <w:sz w:val="24"/>
          <w:szCs w:val="24"/>
        </w:rPr>
        <w:t xml:space="preserve">The practical implication: if you want to interface a world model with a language model, static image reconstruction encoders like MAE provide the most natural bridge. Contrastive interfaces (CLIP) are moderately commensurable. Pure video models require the most translation work—their representational structure is the most distant from the token-by-token geometry that language models operate in.</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12. Open Questions</w:t>
      </w:r>
    </w:p>
    <w:p>
      <w:pPr>
        <w:pStyle w:val="ListParagraph"/>
        <w:numPr>
          <w:ilvl w:val="0"/>
          <w:numId w:val="2"/>
        </w:numPr>
        <w:spacing w:after="100"/>
      </w:pPr>
      <w:r>
        <w:rPr>
          <w:rFonts w:ascii="Georgia" w:cs="Georgia" w:eastAsia="Georgia" w:hAnsi="Georgia"/>
          <w:sz w:val="24"/>
          <w:szCs w:val="24"/>
        </w:rPr>
        <w:t xml:space="preserve">Static proxy confound: All video models evaluated on static images repeated N frames (zero-velocity condition). V-JEPA 2 and VideoMAE on genuine video would test whether the video-language gap increases further. Something-Something v2 download is the priority next step.</w:t>
      </w:r>
    </w:p>
    <w:p>
      <w:pPr>
        <w:pStyle w:val="ListParagraph"/>
        <w:numPr>
          <w:ilvl w:val="0"/>
          <w:numId w:val="2"/>
        </w:numPr>
        <w:spacing w:after="100"/>
      </w:pPr>
      <w:r>
        <w:rPr>
          <w:rFonts w:ascii="Georgia" w:cs="Georgia" w:eastAsia="Georgia" w:hAnsi="Georgia"/>
          <w:sz w:val="24"/>
          <w:szCs w:val="24"/>
        </w:rPr>
        <w:t xml:space="preserve">MAE architecture variants: VideoMAE-SSv2 uses ViT-Base while MAE uses ViT-Large. A MAE-Base vs. VideoMAE-Base comparison would fully control architecture.</w:t>
      </w:r>
    </w:p>
    <w:p>
      <w:pPr>
        <w:pStyle w:val="ListParagraph"/>
        <w:numPr>
          <w:ilvl w:val="0"/>
          <w:numId w:val="2"/>
        </w:numPr>
        <w:spacing w:after="100"/>
      </w:pPr>
      <w:r>
        <w:rPr>
          <w:rFonts w:ascii="Georgia" w:cs="Georgia" w:eastAsia="Georgia" w:hAnsi="Georgia"/>
          <w:sz w:val="24"/>
          <w:szCs w:val="24"/>
        </w:rPr>
        <w:t xml:space="preserve">Differentiable interface: PIQA failure (−6.6%) motivates a projection layer W mapping visual latents into LM semantic subspace. The MAE alignment result predicts this projection should work best for MAE and worst for VideoMAE/V-JEPA 2.</w:t>
      </w:r>
    </w:p>
    <w:p>
      <w:pPr>
        <w:pStyle w:val="ListParagraph"/>
        <w:numPr>
          <w:ilvl w:val="0"/>
          <w:numId w:val="2"/>
        </w:numPr>
        <w:spacing w:after="200"/>
      </w:pPr>
      <w:r>
        <w:rPr>
          <w:rFonts w:ascii="Georgia" w:cs="Georgia" w:eastAsia="Georgia" w:hAnsi="Georgia"/>
          <w:sz w:val="24"/>
          <w:szCs w:val="24"/>
        </w:rPr>
        <w:t xml:space="preserve">Codebook interpretability: With 16 codes across 61 concepts, each code covers ~4 concepts on average. Labeling codes by their top-assigned concepts and asking an LLM to name the latent dimension would convert the alignment measurement into an interpretable vocabulary.</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13. Caveats</w:t>
      </w:r>
    </w:p>
    <w:p>
      <w:pPr>
        <w:spacing w:after="180"/>
      </w:pPr>
      <w:r>
        <w:rPr>
          <w:rFonts w:ascii="Georgia" w:cs="Georgia" w:eastAsia="Georgia" w:hAnsi="Georgia"/>
          <w:b w:val="false"/>
          <w:bCs w:val="false"/>
          <w:sz w:val="24"/>
          <w:szCs w:val="24"/>
        </w:rPr>
        <w:t xml:space="preserve">Static video proxy: All video models evaluated on static images repeated 8–16 frames. Zero-velocity condition likely produces sub-optimal representations for video-specialized models. All video model results are lower bounds.</w:t>
      </w:r>
    </w:p>
    <w:p>
      <w:pPr>
        <w:spacing w:after="180"/>
      </w:pPr>
      <w:r>
        <w:rPr>
          <w:rFonts w:ascii="Georgia" w:cs="Georgia" w:eastAsia="Georgia" w:hAnsi="Georgia"/>
          <w:b w:val="false"/>
          <w:bCs w:val="false"/>
          <w:sz w:val="24"/>
          <w:szCs w:val="24"/>
        </w:rPr>
        <w:t xml:space="preserve">Architecture mismatch: VideoMAE-SSv2 is ViT-Base (768-dim) while MAE and other models are ViT-Large (1024-dim). The codebook projects to 64-dim so dimensionality is controlled, but depth and capacity differ. A fully controlled comparison would use the same architecture variant across all models.</w:t>
      </w:r>
    </w:p>
    <w:p>
      <w:pPr>
        <w:spacing w:after="180"/>
      </w:pPr>
      <w:r>
        <w:rPr>
          <w:rFonts w:ascii="Georgia" w:cs="Georgia" w:eastAsia="Georgia" w:hAnsi="Georgia"/>
          <w:b w:val="false"/>
          <w:bCs w:val="false"/>
          <w:sz w:val="24"/>
          <w:szCs w:val="24"/>
        </w:rPr>
        <w:t xml:space="preserve">Generalization splits: Train/test splits do not control for semantic proximity between concepts. The 91.8% figure may overestimate generalization to genuinely novel concept clusters.</w:t>
      </w:r>
    </w:p>
    <w:p>
      <w:pPr>
        <w:spacing w:after="180"/>
      </w:pPr>
      <w:r>
        <w:rPr>
          <w:rFonts w:ascii="Georgia" w:cs="Georgia" w:eastAsia="Georgia" w:hAnsi="Georgia"/>
          <w:b w:val="false"/>
          <w:bCs w:val="false"/>
          <w:sz w:val="24"/>
          <w:szCs w:val="24"/>
        </w:rPr>
        <w:t xml:space="preserve">SSv2 variance: VideoMAE-SSv2 shows higher variance across LLMs than other models (Δ=6.7% between highest and lowest LLM). Conclusions about SSv2 specifically should be treated with more caution than conclusions about the other five models.</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Appendix: Methods</w:t>
      </w:r>
    </w:p>
    <w:p>
      <w:pPr>
        <w:pStyle w:val="Heading2"/>
        <w:spacing w:before="280" w:after="140"/>
      </w:pPr>
      <w:r>
        <w:rPr>
          <w:rFonts w:ascii="Arial" w:cs="Arial" w:eastAsia="Arial" w:hAnsi="Arial"/>
          <w:b/>
          <w:bCs/>
          <w:sz w:val="24"/>
          <w:szCs w:val="24"/>
        </w:rPr>
        <w:t xml:space="preserve">Models</w:t>
      </w:r>
    </w:p>
    <w:p>
      <w:pPr>
        <w:spacing w:after="180"/>
      </w:pPr>
      <w:r>
        <w:rPr>
          <w:rFonts w:ascii="Georgia" w:cs="Georgia" w:eastAsia="Georgia" w:hAnsi="Georgia"/>
          <w:b w:val="false"/>
          <w:bCs w:val="false"/>
          <w:sz w:val="24"/>
          <w:szCs w:val="24"/>
        </w:rPr>
        <w:t xml:space="preserve">Language models: Mistral-7B-Instruct (layer 16 hidden state, last token) · Qwen2.5-7B (layer ~50%, last token) · Llama-3.1-8B (layer 16, last token) · Qwen2.5-32B (4-bit quantized, layer ~50%).</w:t>
      </w:r>
    </w:p>
    <w:p>
      <w:pPr>
        <w:spacing w:after="180"/>
      </w:pPr>
      <w:r>
        <w:rPr>
          <w:rFonts w:ascii="Georgia" w:cs="Georgia" w:eastAsia="Georgia" w:hAnsi="Georgia"/>
          <w:b w:val="false"/>
          <w:bCs w:val="false"/>
          <w:sz w:val="24"/>
          <w:szCs w:val="24"/>
        </w:rPr>
        <w:t xml:space="preserve">Visual models: MAE ViT-L (CLS token, mask_ratio=0, facebook/vit-mae-large) · DINOv2-Large (mean hidden state, facebook/dinov2-large) · CLIP ViT-L/14 (visual projection) · VideoMAE-Large/K400 (mean hidden state, 16×static frame, MCG-NJU/videomae-large) · VideoMAE-Base/SSv2 (mean hidden state, 16×static frame, MCG-NJU/videomae-base-ssv2) · V-JEPA 2 ViT-L (CLS token, 16×static frame, skip_predictor=True, facebook/vjepa2-vitl-fpc64-256).</w:t>
      </w:r>
    </w:p>
    <w:p>
      <w:pPr>
        <w:pStyle w:val="Heading2"/>
        <w:spacing w:before="280" w:after="140"/>
      </w:pPr>
      <w:r>
        <w:rPr>
          <w:rFonts w:ascii="Arial" w:cs="Arial" w:eastAsia="Arial" w:hAnsi="Arial"/>
          <w:b/>
          <w:bCs/>
          <w:sz w:val="24"/>
          <w:szCs w:val="24"/>
        </w:rPr>
        <w:t xml:space="preserve">Phrase Bank</w:t>
      </w:r>
    </w:p>
    <w:p>
      <w:pPr>
        <w:spacing w:after="180"/>
      </w:pPr>
      <w:r>
        <w:rPr>
          <w:rFonts w:ascii="Georgia" w:cs="Georgia" w:eastAsia="Georgia" w:hAnsi="Georgia"/>
          <w:b w:val="false"/>
          <w:bCs w:val="false"/>
          <w:sz w:val="24"/>
          <w:szCs w:val="24"/>
        </w:rPr>
        <w:t xml:space="preserve">61 concepts × ~5 event-level phrases = 323 events. 49 object/material concepts + 12 process concepts (fall, bounce, collision, spill, slide, dissolve, shatter, ignite, rust, vibration, compression, flow). Images fetched via Wikimedia/Wikipedia Commons.</w:t>
      </w:r>
    </w:p>
    <w:p>
      <w:pPr>
        <w:pStyle w:val="Heading2"/>
        <w:spacing w:before="280" w:after="140"/>
      </w:pPr>
      <w:r>
        <w:rPr>
          <w:rFonts w:ascii="Arial" w:cs="Arial" w:eastAsia="Arial" w:hAnsi="Arial"/>
          <w:b/>
          <w:bCs/>
          <w:sz w:val="24"/>
          <w:szCs w:val="24"/>
        </w:rPr>
        <w:t xml:space="preserve">Codebook</w:t>
      </w:r>
    </w:p>
    <w:p>
      <w:pPr>
        <w:spacing w:after="180"/>
      </w:pPr>
      <w:r>
        <w:rPr>
          <w:rFonts w:ascii="Georgia" w:cs="Georgia" w:eastAsia="Georgia" w:hAnsi="Georgia"/>
          <w:b w:val="false"/>
          <w:bCs w:val="false"/>
          <w:sz w:val="24"/>
          <w:szCs w:val="24"/>
        </w:rPr>
        <w:t xml:space="preserve">Linear projections to shared 64-dim space, VQ (16 codes), NT-Xent contrastive loss λ=0.5, diversity loss λ=0.1. 50 runs (10 splits × 5 seeds) for all phrase-level experiments. Concept embeddings = mean over phrase embeddings per concept.</w:t>
      </w:r>
    </w:p>
    <w:p>
      <w:pPr>
        <w:pStyle w:val="Heading2"/>
        <w:spacing w:before="280" w:after="140"/>
      </w:pPr>
      <w:r>
        <w:rPr>
          <w:rFonts w:ascii="Arial" w:cs="Arial" w:eastAsia="Arial" w:hAnsi="Arial"/>
          <w:b/>
          <w:bCs/>
          <w:sz w:val="24"/>
          <w:szCs w:val="24"/>
        </w:rPr>
        <w:t xml:space="preserve">Hardware</w:t>
      </w:r>
    </w:p>
    <w:p>
      <w:pPr>
        <w:spacing w:after="180"/>
      </w:pPr>
      <w:r>
        <w:rPr>
          <w:rFonts w:ascii="Georgia" w:cs="Georgia" w:eastAsia="Georgia" w:hAnsi="Georgia"/>
          <w:b w:val="false"/>
          <w:bCs w:val="false"/>
          <w:sz w:val="24"/>
          <w:szCs w:val="24"/>
        </w:rPr>
        <w:t xml:space="preserve">RTX 5090 32GB · CUDA 12.9 · PyTorch 2.10 · transformers 5.3.0 · Python 3.11</w:t>
      </w:r>
    </w:p>
    <w:p>
      <w:pPr>
        <w:pStyle w:val="Heading2"/>
        <w:spacing w:before="280" w:after="140"/>
      </w:pPr>
      <w:r>
        <w:rPr>
          <w:rFonts w:ascii="Arial" w:cs="Arial" w:eastAsia="Arial" w:hAnsi="Arial"/>
          <w:b/>
          <w:bCs/>
          <w:sz w:val="24"/>
          <w:szCs w:val="24"/>
        </w:rPr>
        <w:t xml:space="preserve">Code</w:t>
      </w:r>
    </w:p>
    <w:p>
      <w:pPr>
        <w:spacing w:after="180"/>
      </w:pPr>
      <w:r>
        <w:rPr>
          <w:rFonts w:ascii="Georgia" w:cs="Georgia" w:eastAsia="Georgia" w:hAnsi="Georgia"/>
          <w:b w:val="false"/>
          <w:bCs w:val="false"/>
          <w:sz w:val="24"/>
          <w:szCs w:val="24"/>
        </w:rPr>
        <w:t xml:space="preserve">github.com/Ecological-align/world-model-language</w:t>
      </w:r>
    </w:p>
    <w:p>
      <w:pPr>
        <w:pBdr>
          <w:bottom w:val="single" w:color="e2e8f0" w:sz="4" w:space="1"/>
        </w:pBdr>
        <w:spacing w:before="240" w:after="240"/>
      </w:pPr>
    </w:p>
    <w:p>
      <w:pPr>
        <w:pStyle w:val="Heading1"/>
        <w:spacing w:before="360" w:after="180"/>
      </w:pPr>
      <w:r>
        <w:rPr>
          <w:rFonts w:ascii="Arial" w:cs="Arial" w:eastAsia="Arial" w:hAnsi="Arial"/>
          <w:b/>
          <w:bCs/>
          <w:sz w:val="28"/>
          <w:szCs w:val="28"/>
        </w:rPr>
        <w:t xml:space="preserve">References</w:t>
      </w:r>
    </w:p>
    <w:p>
      <w:pPr>
        <w:spacing w:after="180"/>
      </w:pPr>
      <w:r>
        <w:rPr>
          <w:rFonts w:ascii="Georgia" w:cs="Georgia" w:eastAsia="Georgia" w:hAnsi="Georgia"/>
          <w:b w:val="false"/>
          <w:bCs w:val="false"/>
          <w:sz w:val="24"/>
          <w:szCs w:val="24"/>
        </w:rPr>
        <w:t xml:space="preserve">Huh et al. (2024). Position: The Platonic Representation Hypothesis. ICML 2024.</w:t>
      </w:r>
    </w:p>
    <w:p>
      <w:pPr>
        <w:spacing w:after="180"/>
      </w:pPr>
      <w:r>
        <w:rPr>
          <w:rFonts w:ascii="Georgia" w:cs="Georgia" w:eastAsia="Georgia" w:hAnsi="Georgia"/>
          <w:b w:val="false"/>
          <w:bCs w:val="false"/>
          <w:sz w:val="24"/>
          <w:szCs w:val="24"/>
        </w:rPr>
        <w:t xml:space="preserve">Krigeskorte et al. (2008). Representational similarity analysis. Frontiers in Systems Neuroscience.</w:t>
      </w:r>
    </w:p>
    <w:p>
      <w:pPr>
        <w:spacing w:after="180"/>
      </w:pPr>
      <w:r>
        <w:rPr>
          <w:rFonts w:ascii="Georgia" w:cs="Georgia" w:eastAsia="Georgia" w:hAnsi="Georgia"/>
          <w:b w:val="false"/>
          <w:bCs w:val="false"/>
          <w:sz w:val="24"/>
          <w:szCs w:val="24"/>
        </w:rPr>
        <w:t xml:space="preserve">Assran et al. (2025). V-JEPA 2: Self-Supervised Video Models Enable Understanding, Prediction and Planning. arXiv:2506.09985.</w:t>
      </w:r>
    </w:p>
    <w:p>
      <w:pPr>
        <w:spacing w:after="180"/>
      </w:pPr>
      <w:r>
        <w:rPr>
          <w:rFonts w:ascii="Georgia" w:cs="Georgia" w:eastAsia="Georgia" w:hAnsi="Georgia"/>
          <w:b w:val="false"/>
          <w:bCs w:val="false"/>
          <w:sz w:val="24"/>
          <w:szCs w:val="24"/>
        </w:rPr>
        <w:t xml:space="preserve">He et al. (2022). Masked autoencoders are scalable vision learners. CVPR 2022.</w:t>
      </w:r>
    </w:p>
    <w:p>
      <w:pPr>
        <w:spacing w:after="180"/>
      </w:pPr>
      <w:r>
        <w:rPr>
          <w:rFonts w:ascii="Georgia" w:cs="Georgia" w:eastAsia="Georgia" w:hAnsi="Georgia"/>
          <w:b w:val="false"/>
          <w:bCs w:val="false"/>
          <w:sz w:val="24"/>
          <w:szCs w:val="24"/>
        </w:rPr>
        <w:t xml:space="preserve">Tong et al. (2022). VideoMAE: Masked autoencoders are data-efficient learners for self-supervised video pre-training. NeurIPS 2022.</w:t>
      </w:r>
    </w:p>
    <w:p>
      <w:pPr>
        <w:spacing w:after="180"/>
      </w:pPr>
      <w:r>
        <w:rPr>
          <w:rFonts w:ascii="Georgia" w:cs="Georgia" w:eastAsia="Georgia" w:hAnsi="Georgia"/>
          <w:b w:val="false"/>
          <w:bCs w:val="false"/>
          <w:sz w:val="24"/>
          <w:szCs w:val="24"/>
        </w:rPr>
        <w:t xml:space="preserve">Oquab et al. (2024). DINOv2: Learning robust visual features without supervision. TMLR 2024.</w:t>
      </w:r>
    </w:p>
    <w:p>
      <w:pPr>
        <w:spacing w:after="180"/>
      </w:pPr>
      <w:r>
        <w:rPr>
          <w:rFonts w:ascii="Georgia" w:cs="Georgia" w:eastAsia="Georgia" w:hAnsi="Georgia"/>
          <w:b w:val="false"/>
          <w:bCs w:val="false"/>
          <w:sz w:val="24"/>
          <w:szCs w:val="24"/>
        </w:rPr>
        <w:t xml:space="preserve">van den Oord et al. (2017). Neural discrete representation learning. NeurIPS 2017.</w:t>
      </w:r>
    </w:p>
    <w:p>
      <w:pPr>
        <w:spacing w:after="180"/>
      </w:pPr>
      <w:r>
        <w:rPr>
          <w:rFonts w:ascii="Georgia" w:cs="Georgia" w:eastAsia="Georgia" w:hAnsi="Georgia"/>
          <w:b w:val="false"/>
          <w:bCs w:val="false"/>
          <w:sz w:val="24"/>
          <w:szCs w:val="24"/>
        </w:rPr>
        <w:t xml:space="preserve">Liu et al. (2022). Cross-modal discrete representation learning. ACL 2022.</w:t>
      </w:r>
    </w:p>
    <w:p>
      <w:pPr>
        <w:spacing w:after="180"/>
      </w:pPr>
      <w:r>
        <w:rPr>
          <w:rFonts w:ascii="Georgia" w:cs="Georgia" w:eastAsia="Georgia" w:hAnsi="Georgia"/>
          <w:b w:val="false"/>
          <w:bCs w:val="false"/>
          <w:sz w:val="24"/>
          <w:szCs w:val="24"/>
        </w:rPr>
        <w:t xml:space="preserve">Bisk et al. (2020). PIQA: Reasoning about physical commonsense in natural language. AAAI 2020.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11111"/>
      <w:sz w:val="28"/>
      <w:szCs w:val="28"/>
    </w:rPr>
  </w:style>
  <w:style w:type="paragraph" w:styleId="Heading2">
    <w:name w:val="Heading 2"/>
    <w:basedOn w:val="Normal"/>
    <w:next w:val="Normal"/>
    <w:qFormat/>
    <w:pPr>
      <w:spacing w:before="280" w:after="160"/>
      <w:outlineLvl w:val="1"/>
    </w:pPr>
    <w:rPr>
      <w:rFonts w:ascii="Arial" w:cs="Arial" w:eastAsia="Arial" w:hAnsi="Arial"/>
      <w:b/>
      <w:bCs/>
      <w:color w:val="2222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2026-03-09T03:03:35.880Z</dcterms:created>
  <dcterms:modified xsi:type="dcterms:W3CDTF">2026-03-09T03:03:35.881Z</dcterms:modified>
</cp:coreProperties>
</file>

<file path=docProps/custom.xml><?xml version="1.0" encoding="utf-8"?>
<Properties xmlns="http://schemas.openxmlformats.org/officeDocument/2006/custom-properties" xmlns:vt="http://schemas.openxmlformats.org/officeDocument/2006/docPropsVTypes"/>
</file>