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0"/>
      </w:pPr>
      <w:r>
        <w:rPr>
          <w:b/>
          <w:bCs/>
          <w:color w:val="1F5C4D"/>
          <w:spacing w:val="40"/>
          <w:sz w:val="28"/>
          <w:szCs w:val="28"/>
        </w:rPr>
        <w:t xml:space="preserve">DUE DILIGENCE TÉCNICA</w:t>
      </w:r>
    </w:p>
    <w:p>
      <w:pPr>
        <w:spacing w:after="40"/>
      </w:pPr>
      <w:r>
        <w:rPr>
          <w:b/>
          <w:bCs/>
          <w:color w:val="1A1A17"/>
          <w:sz w:val="44"/>
          <w:szCs w:val="44"/>
        </w:rPr>
        <w:t xml:space="preserve">Tentare — SaaS de gestión para estudios de Pilates</w:t>
      </w:r>
    </w:p>
    <w:p>
      <w:pPr>
        <w:spacing w:after="300"/>
      </w:pPr>
      <w:r>
        <w:rPr>
          <w:i/>
          <w:iCs/>
          <w:color w:val="6B6B62"/>
          <w:sz w:val="24"/>
          <w:szCs w:val="24"/>
        </w:rPr>
        <w:t xml:space="preserve">El roadmap del documento maestro contra el código en producción</w:t>
      </w:r>
    </w:p>
    <w:p>
      <w:pPr>
        <w:pBdr>
          <w:bottom w:val="single" w:color="1F5C4D" w:sz="8"/>
        </w:pBdr>
        <w:spacing w:after="220"/>
      </w:pPr>
    </w:p>
    <w:p>
      <w:pPr>
        <w:spacing w:after="120" w:line="264"/>
      </w:pPr>
      <w:r>
        <w:rPr>
          <w:b/>
          <w:bCs/>
          <w:color w:val="1A1A17"/>
          <w:sz w:val="20"/>
          <w:szCs w:val="20"/>
        </w:rPr>
        <w:t xml:space="preserve">Preparado para: </w:t>
      </w:r>
      <w:r>
        <w:rPr>
          <w:color w:val="1A1A17"/>
          <w:sz w:val="20"/>
          <w:szCs w:val="20"/>
        </w:rPr>
        <w:t xml:space="preserve">Comité de Inversión (ejercicio 30 M€)</w:t>
      </w:r>
    </w:p>
    <w:p>
      <w:pPr>
        <w:spacing w:after="120" w:line="264"/>
      </w:pPr>
      <w:r>
        <w:rPr>
          <w:b/>
          <w:bCs/>
          <w:color w:val="1A1A17"/>
          <w:sz w:val="20"/>
          <w:szCs w:val="20"/>
        </w:rPr>
        <w:t xml:space="preserve">Fecha: </w:t>
      </w:r>
      <w:r>
        <w:rPr>
          <w:color w:val="1A1A17"/>
          <w:sz w:val="20"/>
          <w:szCs w:val="20"/>
        </w:rPr>
        <w:t xml:space="preserve">16 de julio de 2026</w:t>
      </w:r>
    </w:p>
    <w:p>
      <w:pPr>
        <w:spacing w:after="120" w:line="264"/>
      </w:pPr>
      <w:r>
        <w:rPr>
          <w:b/>
          <w:bCs/>
          <w:color w:val="1A1A17"/>
          <w:sz w:val="20"/>
          <w:szCs w:val="20"/>
        </w:rPr>
        <w:t xml:space="preserve">Alcance: </w:t>
      </w:r>
      <w:r>
        <w:rPr>
          <w:color w:val="1A1A17"/>
          <w:sz w:val="20"/>
          <w:szCs w:val="20"/>
        </w:rPr>
        <w:t xml:space="preserve">Revisión de solo lectura de lib/, app/, components/ y supabase/ + auditoría automática (tsc, tests) del 15-jul-2026.</w:t>
      </w:r>
    </w:p>
    <w:p>
      <w:pPr>
        <w:spacing w:after="120" w:line="264"/>
      </w:pPr>
      <w:r>
        <w:rPr>
          <w:b/>
          <w:bCs/>
          <w:color w:val="B42318"/>
          <w:sz w:val="20"/>
          <w:szCs w:val="20"/>
        </w:rPr>
        <w:t xml:space="preserve">Confidencial. </w:t>
      </w:r>
      <w:r>
        <w:rPr>
          <w:i/>
          <w:iCs/>
          <w:color w:val="6B6B62"/>
          <w:sz w:val="20"/>
          <w:szCs w:val="20"/>
        </w:rPr>
        <w:t xml:space="preserve">Documento interno de comité; no distribuir fuera del vehículo de inversión.</w:t>
      </w:r>
    </w:p>
    <w:p>
      <w:pPr>
        <w:spacing w:after="120" w:before="260"/>
      </w:pPr>
      <w:r>
        <w:rPr>
          <w:b/>
          <w:bCs/>
          <w:color w:val="1A1A17"/>
          <w:sz w:val="24"/>
          <w:szCs w:val="24"/>
        </w:rP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A1A17"/>
          <w:sz w:val="30"/>
          <w:szCs w:val="30"/>
        </w:rPr>
        <w:t xml:space="preserve">0 · Veredicto ejecutivo</w:t>
      </w:r>
    </w:p>
    <w:p>
      <w:pPr>
        <w:pBdr>
          <w:bottom w:val="single" w:color="1F5C4D" w:sz="6"/>
        </w:pBdr>
        <w:spacing w:after="160" w:before="60"/>
      </w:pPr>
    </w:p>
    <w:p>
      <w:pPr>
        <w:spacing w:after="120" w:line="264"/>
      </w:pPr>
      <w:r>
        <w:rPr>
          <w:b/>
          <w:bCs/>
          <w:color w:val="1A1A17"/>
          <w:sz w:val="20"/>
          <w:szCs w:val="20"/>
        </w:rPr>
        <w:t xml:space="preserve">El documento maestro de producto es un artefacto de investigación de mercado, no un reflejo del estado real del build.</w:t>
      </w:r>
      <w:r>
        <w:rPr>
          <w:color w:val="1A1A17"/>
          <w:sz w:val="20"/>
          <w:szCs w:val="20"/>
        </w:rPr>
        <w:t xml:space="preserve"> El código está bastante más avanzado de lo que el roadmap sugiere —partes de la Fase 2 y de la Fase 3 (WhatsApp, Veri*Factu) ya existen en el repositorio— pero arrastraba riesgos técnicos en el manejo de datos de salud y de dinero que el documento no menciona en absoluto.</w:t>
      </w:r>
    </w:p>
    <w:p>
      <w:pPr>
        <w:spacing w:after="120" w:line="264"/>
      </w:pPr>
      <w:r>
        <w:rPr>
          <w:color w:val="1A1A17"/>
          <w:sz w:val="20"/>
          <w:szCs w:val="20"/>
        </w:rPr>
        <w:t xml:space="preserve">Esos riesgos ya han sido remediados en una rama de trabajo (pendiente de revisión y merge): las rutas de dinero del panel se alinearon con las RPC atómicas del servidor y la colisión de migraciones que afectaba a la RLS de datos de salud se resolvió. Producción no estaba expuesta. Lo que queda para el comité es una decisión de gobernanza —exigir el merge verificado antes de firmar— y corregir la narrativa de inversión.</w:t>
      </w:r>
    </w:p>
    <w:p>
      <w:pPr>
        <w:pStyle w:val="Heading1"/>
        <w:spacing w:after="140" w:before="320"/>
      </w:pPr>
      <w:r>
        <w:rPr>
          <w:b/>
          <w:bCs/>
          <w:color w:val="1A1A17"/>
          <w:sz w:val="30"/>
          <w:szCs w:val="30"/>
        </w:rPr>
        <w:t xml:space="preserve">1 · Hallazgo central: dos desincronizaciones</w:t>
      </w:r>
    </w:p>
    <w:p>
      <w:pPr>
        <w:pStyle w:val="Heading2"/>
        <w:spacing w:after="100" w:before="220"/>
      </w:pPr>
      <w:r>
        <w:rPr>
          <w:b/>
          <w:bCs/>
          <w:color w:val="1F5C4D"/>
          <w:sz w:val="23"/>
          <w:szCs w:val="23"/>
        </w:rPr>
        <w:t xml:space="preserve">1.1 · Roadmap ↔ build desincronizados</w:t>
      </w:r>
    </w:p>
    <w:p>
      <w:pPr>
        <w:spacing w:after="120" w:line="264"/>
      </w:pPr>
      <w:r>
        <w:rPr>
          <w:color w:val="1A1A17"/>
          <w:sz w:val="20"/>
          <w:szCs w:val="20"/>
        </w:rPr>
        <w:t xml:space="preserve">El documento prioriza como "futuro estratégico (Fase 3)" cosas que ya están en el repositorio: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b/>
          <w:bCs/>
          <w:color w:val="1A1A17"/>
          <w:sz w:val="20"/>
          <w:szCs w:val="20"/>
        </w:rPr>
        <w:t xml:space="preserve">WhatsApp Business API</w:t>
      </w:r>
      <w:r>
        <w:rPr>
          <w:color w:val="1A1A17"/>
          <w:sz w:val="20"/>
          <w:szCs w:val="20"/>
        </w:rPr>
        <w:t xml:space="preserve"> — integración real con Meta Cloud API (lib/whatsapp.ts) más un canal Twilio de respaldo (lib/twilio.ts).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b/>
          <w:bCs/>
          <w:color w:val="1A1A17"/>
          <w:sz w:val="20"/>
          <w:szCs w:val="20"/>
        </w:rPr>
        <w:t xml:space="preserve">Facturación española Veri*Factu</w:t>
      </w:r>
      <w:r>
        <w:rPr>
          <w:color w:val="1A1A17"/>
          <w:sz w:val="20"/>
          <w:szCs w:val="20"/>
        </w:rPr>
        <w:t xml:space="preserve"> — motor de huella SHA-256 encadenada con los vectores de prueba oficiales de la AEAT (lib/verifactu.ts).</w:t>
      </w:r>
    </w:p>
    <w:p>
      <w:pPr>
        <w:spacing w:after="120" w:line="264"/>
      </w:pPr>
      <w:r>
        <w:rPr>
          <w:b/>
          <w:bCs/>
          <w:color w:val="1A1A17"/>
          <w:sz w:val="20"/>
          <w:szCs w:val="20"/>
        </w:rPr>
        <w:t xml:space="preserve">Un inversor que lea únicamente el documento infravalora el activo técnico.</w:t>
      </w:r>
    </w:p>
    <w:p>
      <w:pPr>
        <w:pStyle w:val="Heading2"/>
        <w:spacing w:after="100" w:before="220"/>
      </w:pPr>
      <w:r>
        <w:rPr>
          <w:b/>
          <w:bCs/>
          <w:color w:val="1F5C4D"/>
          <w:sz w:val="23"/>
          <w:szCs w:val="23"/>
        </w:rPr>
        <w:t xml:space="preserve">1.2 · Drift de posicionamiento</w:t>
      </w:r>
    </w:p>
    <w:p>
      <w:pPr>
        <w:spacing w:after="120" w:line="264"/>
      </w:pPr>
      <w:r>
        <w:rPr>
          <w:color w:val="1A1A17"/>
          <w:sz w:val="20"/>
          <w:szCs w:val="20"/>
        </w:rPr>
        <w:t xml:space="preserve">El documento vende </w:t>
      </w:r>
      <w:r>
        <w:rPr>
          <w:i/>
          <w:iCs/>
          <w:color w:val="1A1A17"/>
          <w:sz w:val="20"/>
          <w:szCs w:val="20"/>
        </w:rPr>
        <w:t xml:space="preserve">"el software que te avisa antes de que lo descubras tú"</w:t>
      </w:r>
      <w:r>
        <w:rPr>
          <w:color w:val="1A1A17"/>
          <w:sz w:val="20"/>
          <w:szCs w:val="20"/>
        </w:rPr>
        <w:t xml:space="preserve">. El producto ya desplegado se posiciona distinto en su propia landing: </w:t>
      </w:r>
      <w:r>
        <w:rPr>
          <w:i/>
          <w:iCs/>
          <w:color w:val="1A1A17"/>
          <w:sz w:val="20"/>
          <w:szCs w:val="20"/>
        </w:rPr>
        <w:t xml:space="preserve">"Tentare toma decisiones y ejecuta tareas de gestión solo — tú solo apruebas"</w:t>
      </w:r>
      <w:r>
        <w:rPr>
          <w:color w:val="1A1A17"/>
          <w:sz w:val="20"/>
          <w:szCs w:val="20"/>
        </w:rPr>
        <w:t xml:space="preserve">.</w:t>
      </w:r>
    </w:p>
    <w:p>
      <w:pPr>
        <w:spacing w:after="120" w:line="264"/>
      </w:pPr>
      <w:r>
        <w:rPr>
          <w:color w:val="1A1A17"/>
          <w:sz w:val="20"/>
          <w:szCs w:val="20"/>
        </w:rPr>
        <w:t xml:space="preserve">Existe un motor de decisiones autónomo completo (lib/decision/, con especialistas de retención, captación, agenda, finanzas e ingresos) que el documento maestro ni menciona. El producto real es un "Decision OS"; el documento describe un CRM de confianza operativa. </w:t>
      </w:r>
      <w:r>
        <w:rPr>
          <w:b/>
          <w:bCs/>
          <w:color w:val="1A1A17"/>
          <w:sz w:val="20"/>
          <w:szCs w:val="20"/>
        </w:rPr>
        <w:t xml:space="preserve">Son dos tesis de inversión diferentes.</w:t>
      </w:r>
    </w:p>
    <w:p>
      <w:pPr>
        <w:pStyle w:val="Heading1"/>
        <w:spacing w:after="140" w:before="320"/>
      </w:pPr>
      <w:r>
        <w:rPr>
          <w:b/>
          <w:bCs/>
          <w:color w:val="1A1A17"/>
          <w:sz w:val="30"/>
          <w:szCs w:val="30"/>
        </w:rPr>
        <w:t xml:space="preserve">2 · Roadmap → realidad, ticket por ticket</w:t>
      </w:r>
    </w:p>
    <w:p>
      <w:pPr>
        <w:pBdr>
          <w:bottom w:val="single" w:color="1F5C4D" w:sz="6"/>
        </w:pBdr>
        <w:spacing w:after="160" w:before="60"/>
      </w:pPr>
    </w:p>
    <w:tbl>
      <w:tblPr>
        <w:tblW w:type="dxa" w:w="8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3050"/>
        <w:gridCol w:w="1500"/>
        <w:gridCol w:w="3140"/>
      </w:tblGrid>
      <w:tr>
        <w:trPr>
          <w:tblHeader/>
        </w:trPr>
        <w:tc>
          <w:tcPr>
            <w:tcW w:type="dxa" w:w="1150"/>
            <w:tcBorders>
              <w:top w:val="single" w:color="D9D9D2" w:sz="2"/>
              <w:left w:val="single" w:color="D9D9D2" w:sz="2"/>
              <w:bottom w:val="single" w:color="D9D9D2" w:sz="2"/>
              <w:right w:val="single" w:color="D9D9D2" w:sz="2"/>
            </w:tcBorders>
            <w:shd w:fill="F3F3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A1A17"/>
                <w:sz w:val="17"/>
                <w:szCs w:val="17"/>
              </w:rPr>
              <w:t xml:space="preserve">Ticket</w:t>
            </w:r>
          </w:p>
        </w:tc>
        <w:tc>
          <w:tcPr>
            <w:tcW w:type="dxa" w:w="3050"/>
            <w:tcBorders>
              <w:top w:val="single" w:color="D9D9D2" w:sz="2"/>
              <w:left w:val="single" w:color="D9D9D2" w:sz="2"/>
              <w:bottom w:val="single" w:color="D9D9D2" w:sz="2"/>
              <w:right w:val="single" w:color="D9D9D2" w:sz="2"/>
            </w:tcBorders>
            <w:shd w:fill="F3F3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A1A17"/>
                <w:sz w:val="17"/>
                <w:szCs w:val="17"/>
              </w:rPr>
              <w:t xml:space="preserve">Ítem del roadmap</w:t>
            </w:r>
          </w:p>
        </w:tc>
        <w:tc>
          <w:tcPr>
            <w:tcW w:type="dxa" w:w="1500"/>
            <w:tcBorders>
              <w:top w:val="single" w:color="D9D9D2" w:sz="2"/>
              <w:left w:val="single" w:color="D9D9D2" w:sz="2"/>
              <w:bottom w:val="single" w:color="D9D9D2" w:sz="2"/>
              <w:right w:val="single" w:color="D9D9D2" w:sz="2"/>
            </w:tcBorders>
            <w:shd w:fill="F3F3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A1A17"/>
                <w:sz w:val="17"/>
                <w:szCs w:val="17"/>
              </w:rPr>
              <w:t xml:space="preserve">Estado real</w:t>
            </w:r>
          </w:p>
        </w:tc>
        <w:tc>
          <w:tcPr>
            <w:tcW w:type="dxa" w:w="3140"/>
            <w:tcBorders>
              <w:top w:val="single" w:color="D9D9D2" w:sz="2"/>
              <w:left w:val="single" w:color="D9D9D2" w:sz="2"/>
              <w:bottom w:val="single" w:color="D9D9D2" w:sz="2"/>
              <w:right w:val="single" w:color="D9D9D2" w:sz="2"/>
            </w:tcBorders>
            <w:shd w:fill="F3F3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A1A17"/>
                <w:sz w:val="17"/>
                <w:szCs w:val="17"/>
              </w:rPr>
              <w:t xml:space="preserve">Evidencia en el código</w:t>
            </w:r>
          </w:p>
        </w:tc>
      </w:tr>
      <w:tr>
        <w:tc>
          <w:tcPr>
            <w:tcW w:type="dxa" w:w="1150"/>
            <w:tcBorders>
              <w:top w:val="single" w:color="D9D9D2" w:sz="2"/>
              <w:left w:val="single" w:color="D9D9D2" w:sz="2"/>
              <w:bottom w:val="single" w:color="D9D9D2" w:sz="2"/>
              <w:right w:val="single" w:color="D9D9D2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A1A17"/>
                <w:sz w:val="16"/>
                <w:szCs w:val="16"/>
              </w:rPr>
              <w:t xml:space="preserve">F0</w:t>
            </w:r>
          </w:p>
        </w:tc>
        <w:tc>
          <w:tcPr>
            <w:tcW w:type="dxa" w:w="3050"/>
            <w:tcBorders>
              <w:top w:val="single" w:color="D9D9D2" w:sz="2"/>
              <w:left w:val="single" w:color="D9D9D2" w:sz="2"/>
              <w:bottom w:val="single" w:color="D9D9D2" w:sz="2"/>
              <w:right w:val="single" w:color="D9D9D2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1A17"/>
                <w:sz w:val="17"/>
                <w:szCs w:val="17"/>
              </w:rPr>
              <w:t xml:space="preserve">Precio público / sin letra pequeña</w:t>
            </w:r>
          </w:p>
        </w:tc>
        <w:tc>
          <w:tcPr>
            <w:tcW w:type="dxa" w:w="1500"/>
            <w:tcBorders>
              <w:top w:val="single" w:color="D9D9D2" w:sz="2"/>
              <w:left w:val="single" w:color="D9D9D2" w:sz="2"/>
              <w:bottom w:val="single" w:color="D9D9D2" w:sz="2"/>
              <w:right w:val="single" w:color="D9D9D2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87443"/>
                <w:sz w:val="16"/>
                <w:szCs w:val="16"/>
              </w:rPr>
              <w:t xml:space="preserve">Hecho</w:t>
            </w:r>
          </w:p>
        </w:tc>
        <w:tc>
          <w:tcPr>
            <w:tcW w:type="dxa" w:w="3140"/>
            <w:tcBorders>
              <w:top w:val="single" w:color="D9D9D2" w:sz="2"/>
              <w:left w:val="single" w:color="D9D9D2" w:sz="2"/>
              <w:bottom w:val="single" w:color="D9D9D2" w:sz="2"/>
              <w:right w:val="single" w:color="D9D9D2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6B6B62"/>
                <w:sz w:val="15"/>
                <w:szCs w:val="15"/>
              </w:rPr>
              <w:t xml:space="preserve">Landing con sección de precios y cifras concretas (app/page.tsx)</w:t>
            </w:r>
          </w:p>
        </w:tc>
      </w:tr>
      <w:tr>
        <w:tc>
          <w:tcPr>
            <w:tcW w:type="dxa" w:w="1150"/>
            <w:tcBorders>
              <w:top w:val="single" w:color="D9D9D2" w:sz="2"/>
              <w:left w:val="single" w:color="D9D9D2" w:sz="2"/>
              <w:bottom w:val="single" w:color="D9D9D2" w:sz="2"/>
              <w:right w:val="single" w:color="D9D9D2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A1A17"/>
                <w:sz w:val="16"/>
                <w:szCs w:val="16"/>
              </w:rPr>
              <w:t xml:space="preserve">TNT-004</w:t>
            </w:r>
          </w:p>
        </w:tc>
        <w:tc>
          <w:tcPr>
            <w:tcW w:type="dxa" w:w="3050"/>
            <w:tcBorders>
              <w:top w:val="single" w:color="D9D9D2" w:sz="2"/>
              <w:left w:val="single" w:color="D9D9D2" w:sz="2"/>
              <w:bottom w:val="single" w:color="D9D9D2" w:sz="2"/>
              <w:right w:val="single" w:color="D9D9D2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1A17"/>
                <w:sz w:val="17"/>
                <w:szCs w:val="17"/>
              </w:rPr>
              <w:t xml:space="preserve">Bono/crédito por reserva</w:t>
            </w:r>
          </w:p>
        </w:tc>
        <w:tc>
          <w:tcPr>
            <w:tcW w:type="dxa" w:w="1500"/>
            <w:tcBorders>
              <w:top w:val="single" w:color="D9D9D2" w:sz="2"/>
              <w:left w:val="single" w:color="D9D9D2" w:sz="2"/>
              <w:bottom w:val="single" w:color="D9D9D2" w:sz="2"/>
              <w:right w:val="single" w:color="D9D9D2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87443"/>
                <w:sz w:val="16"/>
                <w:szCs w:val="16"/>
              </w:rPr>
              <w:t xml:space="preserve">Hecho</w:t>
            </w:r>
          </w:p>
        </w:tc>
        <w:tc>
          <w:tcPr>
            <w:tcW w:type="dxa" w:w="3140"/>
            <w:tcBorders>
              <w:top w:val="single" w:color="D9D9D2" w:sz="2"/>
              <w:left w:val="single" w:color="D9D9D2" w:sz="2"/>
              <w:bottom w:val="single" w:color="D9D9D2" w:sz="2"/>
              <w:right w:val="single" w:color="D9D9D2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6B6B62"/>
                <w:sz w:val="15"/>
                <w:szCs w:val="15"/>
              </w:rPr>
              <w:t xml:space="preserve">lib/bono-logic.ts + RPC atómica consumir_sesion_bono (migr. 0027)</w:t>
            </w:r>
          </w:p>
        </w:tc>
      </w:tr>
      <w:tr>
        <w:tc>
          <w:tcPr>
            <w:tcW w:type="dxa" w:w="1150"/>
            <w:tcBorders>
              <w:top w:val="single" w:color="D9D9D2" w:sz="2"/>
              <w:left w:val="single" w:color="D9D9D2" w:sz="2"/>
              <w:bottom w:val="single" w:color="D9D9D2" w:sz="2"/>
              <w:right w:val="single" w:color="D9D9D2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A1A17"/>
                <w:sz w:val="16"/>
                <w:szCs w:val="16"/>
              </w:rPr>
              <w:t xml:space="preserve">TNT-008</w:t>
            </w:r>
          </w:p>
        </w:tc>
        <w:tc>
          <w:tcPr>
            <w:tcW w:type="dxa" w:w="3050"/>
            <w:tcBorders>
              <w:top w:val="single" w:color="D9D9D2" w:sz="2"/>
              <w:left w:val="single" w:color="D9D9D2" w:sz="2"/>
              <w:bottom w:val="single" w:color="D9D9D2" w:sz="2"/>
              <w:right w:val="single" w:color="D9D9D2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1A17"/>
                <w:sz w:val="17"/>
                <w:szCs w:val="17"/>
              </w:rPr>
              <w:t xml:space="preserve">Facturación española / Veri*Factu</w:t>
            </w:r>
          </w:p>
        </w:tc>
        <w:tc>
          <w:tcPr>
            <w:tcW w:type="dxa" w:w="1500"/>
            <w:tcBorders>
              <w:top w:val="single" w:color="D9D9D2" w:sz="2"/>
              <w:left w:val="single" w:color="D9D9D2" w:sz="2"/>
              <w:bottom w:val="single" w:color="D9D9D2" w:sz="2"/>
              <w:right w:val="single" w:color="D9D9D2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B54708"/>
                <w:sz w:val="16"/>
                <w:szCs w:val="16"/>
              </w:rPr>
              <w:t xml:space="preserve">Cimiento</w:t>
            </w:r>
          </w:p>
        </w:tc>
        <w:tc>
          <w:tcPr>
            <w:tcW w:type="dxa" w:w="3140"/>
            <w:tcBorders>
              <w:top w:val="single" w:color="D9D9D2" w:sz="2"/>
              <w:left w:val="single" w:color="D9D9D2" w:sz="2"/>
              <w:bottom w:val="single" w:color="D9D9D2" w:sz="2"/>
              <w:right w:val="single" w:color="D9D9D2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6B6B62"/>
                <w:sz w:val="15"/>
                <w:szCs w:val="15"/>
              </w:rPr>
              <w:t xml:space="preserve">Motor de huella SHA-256 + QR AEAT; FALTA envío AEAT y firma XAdES</w:t>
            </w:r>
          </w:p>
        </w:tc>
      </w:tr>
      <w:tr>
        <w:tc>
          <w:tcPr>
            <w:tcW w:type="dxa" w:w="1150"/>
            <w:tcBorders>
              <w:top w:val="single" w:color="D9D9D2" w:sz="2"/>
              <w:left w:val="single" w:color="D9D9D2" w:sz="2"/>
              <w:bottom w:val="single" w:color="D9D9D2" w:sz="2"/>
              <w:right w:val="single" w:color="D9D9D2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A1A17"/>
                <w:sz w:val="16"/>
                <w:szCs w:val="16"/>
              </w:rPr>
              <w:t xml:space="preserve">TNT-007</w:t>
            </w:r>
          </w:p>
        </w:tc>
        <w:tc>
          <w:tcPr>
            <w:tcW w:type="dxa" w:w="3050"/>
            <w:tcBorders>
              <w:top w:val="single" w:color="D9D9D2" w:sz="2"/>
              <w:left w:val="single" w:color="D9D9D2" w:sz="2"/>
              <w:bottom w:val="single" w:color="D9D9D2" w:sz="2"/>
              <w:right w:val="single" w:color="D9D9D2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1A17"/>
                <w:sz w:val="17"/>
                <w:szCs w:val="17"/>
              </w:rPr>
              <w:t xml:space="preserve">WhatsApp Business API</w:t>
            </w:r>
          </w:p>
        </w:tc>
        <w:tc>
          <w:tcPr>
            <w:tcW w:type="dxa" w:w="1500"/>
            <w:tcBorders>
              <w:top w:val="single" w:color="D9D9D2" w:sz="2"/>
              <w:left w:val="single" w:color="D9D9D2" w:sz="2"/>
              <w:bottom w:val="single" w:color="D9D9D2" w:sz="2"/>
              <w:right w:val="single" w:color="D9D9D2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B54708"/>
                <w:sz w:val="16"/>
                <w:szCs w:val="16"/>
              </w:rPr>
              <w:t xml:space="preserve">Canal listo</w:t>
            </w:r>
          </w:p>
        </w:tc>
        <w:tc>
          <w:tcPr>
            <w:tcW w:type="dxa" w:w="3140"/>
            <w:tcBorders>
              <w:top w:val="single" w:color="D9D9D2" w:sz="2"/>
              <w:left w:val="single" w:color="D9D9D2" w:sz="2"/>
              <w:bottom w:val="single" w:color="D9D9D2" w:sz="2"/>
              <w:right w:val="single" w:color="D9D9D2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6B6B62"/>
                <w:sz w:val="15"/>
                <w:szCs w:val="15"/>
              </w:rPr>
              <w:t xml:space="preserve">Envío Meta Cloud + Twilio; chatbot de 3 intents sin verificar</w:t>
            </w:r>
          </w:p>
        </w:tc>
      </w:tr>
      <w:tr>
        <w:tc>
          <w:tcPr>
            <w:tcW w:type="dxa" w:w="1150"/>
            <w:tcBorders>
              <w:top w:val="single" w:color="D9D9D2" w:sz="2"/>
              <w:left w:val="single" w:color="D9D9D2" w:sz="2"/>
              <w:bottom w:val="single" w:color="D9D9D2" w:sz="2"/>
              <w:right w:val="single" w:color="D9D9D2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A1A17"/>
                <w:sz w:val="16"/>
                <w:szCs w:val="16"/>
              </w:rPr>
              <w:t xml:space="preserve">TNT-011</w:t>
            </w:r>
          </w:p>
        </w:tc>
        <w:tc>
          <w:tcPr>
            <w:tcW w:type="dxa" w:w="3050"/>
            <w:tcBorders>
              <w:top w:val="single" w:color="D9D9D2" w:sz="2"/>
              <w:left w:val="single" w:color="D9D9D2" w:sz="2"/>
              <w:bottom w:val="single" w:color="D9D9D2" w:sz="2"/>
              <w:right w:val="single" w:color="D9D9D2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1A17"/>
                <w:sz w:val="17"/>
                <w:szCs w:val="17"/>
              </w:rPr>
              <w:t xml:space="preserve">Ficha de salud en el roster</w:t>
            </w:r>
          </w:p>
        </w:tc>
        <w:tc>
          <w:tcPr>
            <w:tcW w:type="dxa" w:w="1500"/>
            <w:tcBorders>
              <w:top w:val="single" w:color="D9D9D2" w:sz="2"/>
              <w:left w:val="single" w:color="D9D9D2" w:sz="2"/>
              <w:bottom w:val="single" w:color="D9D9D2" w:sz="2"/>
              <w:right w:val="single" w:color="D9D9D2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87443"/>
                <w:sz w:val="16"/>
                <w:szCs w:val="16"/>
              </w:rPr>
              <w:t xml:space="preserve">Hecho</w:t>
            </w:r>
          </w:p>
        </w:tc>
        <w:tc>
          <w:tcPr>
            <w:tcW w:type="dxa" w:w="3140"/>
            <w:tcBorders>
              <w:top w:val="single" w:color="D9D9D2" w:sz="2"/>
              <w:left w:val="single" w:color="D9D9D2" w:sz="2"/>
              <w:bottom w:val="single" w:color="D9D9D2" w:sz="2"/>
              <w:right w:val="single" w:color="D9D9D2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6B6B62"/>
                <w:sz w:val="15"/>
                <w:szCs w:val="15"/>
              </w:rPr>
              <w:t xml:space="preserve">lib/ficha-clinica.ts + cron revisiones-salud (ver riesgo C1/C2)</w:t>
            </w:r>
          </w:p>
        </w:tc>
      </w:tr>
      <w:tr>
        <w:tc>
          <w:tcPr>
            <w:tcW w:type="dxa" w:w="1150"/>
            <w:tcBorders>
              <w:top w:val="single" w:color="D9D9D2" w:sz="2"/>
              <w:left w:val="single" w:color="D9D9D2" w:sz="2"/>
              <w:bottom w:val="single" w:color="D9D9D2" w:sz="2"/>
              <w:right w:val="single" w:color="D9D9D2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A1A17"/>
                <w:sz w:val="16"/>
                <w:szCs w:val="16"/>
              </w:rPr>
              <w:t xml:space="preserve">TNT-013</w:t>
            </w:r>
          </w:p>
        </w:tc>
        <w:tc>
          <w:tcPr>
            <w:tcW w:type="dxa" w:w="3050"/>
            <w:tcBorders>
              <w:top w:val="single" w:color="D9D9D2" w:sz="2"/>
              <w:left w:val="single" w:color="D9D9D2" w:sz="2"/>
              <w:bottom w:val="single" w:color="D9D9D2" w:sz="2"/>
              <w:right w:val="single" w:color="D9D9D2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1A17"/>
                <w:sz w:val="17"/>
                <w:szCs w:val="17"/>
              </w:rPr>
              <w:t xml:space="preserve">Detección de churn</w:t>
            </w:r>
          </w:p>
        </w:tc>
        <w:tc>
          <w:tcPr>
            <w:tcW w:type="dxa" w:w="1500"/>
            <w:tcBorders>
              <w:top w:val="single" w:color="D9D9D2" w:sz="2"/>
              <w:left w:val="single" w:color="D9D9D2" w:sz="2"/>
              <w:bottom w:val="single" w:color="D9D9D2" w:sz="2"/>
              <w:right w:val="single" w:color="D9D9D2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87443"/>
                <w:sz w:val="16"/>
                <w:szCs w:val="16"/>
              </w:rPr>
              <w:t xml:space="preserve">Superado</w:t>
            </w:r>
          </w:p>
        </w:tc>
        <w:tc>
          <w:tcPr>
            <w:tcW w:type="dxa" w:w="3140"/>
            <w:tcBorders>
              <w:top w:val="single" w:color="D9D9D2" w:sz="2"/>
              <w:left w:val="single" w:color="D9D9D2" w:sz="2"/>
              <w:bottom w:val="single" w:color="D9D9D2" w:sz="2"/>
              <w:right w:val="single" w:color="D9D9D2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6B6B62"/>
                <w:sz w:val="15"/>
                <w:szCs w:val="15"/>
              </w:rPr>
              <w:t xml:space="preserve">Motor de decisión con especialista de retención (muy sobre el ticket)</w:t>
            </w:r>
          </w:p>
        </w:tc>
      </w:tr>
      <w:tr>
        <w:tc>
          <w:tcPr>
            <w:tcW w:type="dxa" w:w="1150"/>
            <w:tcBorders>
              <w:top w:val="single" w:color="D9D9D2" w:sz="2"/>
              <w:left w:val="single" w:color="D9D9D2" w:sz="2"/>
              <w:bottom w:val="single" w:color="D9D9D2" w:sz="2"/>
              <w:right w:val="single" w:color="D9D9D2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A1A17"/>
                <w:sz w:val="16"/>
                <w:szCs w:val="16"/>
              </w:rPr>
              <w:t xml:space="preserve">TNT-009</w:t>
            </w:r>
          </w:p>
        </w:tc>
        <w:tc>
          <w:tcPr>
            <w:tcW w:type="dxa" w:w="3050"/>
            <w:tcBorders>
              <w:top w:val="single" w:color="D9D9D2" w:sz="2"/>
              <w:left w:val="single" w:color="D9D9D2" w:sz="2"/>
              <w:bottom w:val="single" w:color="D9D9D2" w:sz="2"/>
              <w:right w:val="single" w:color="D9D9D2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1A17"/>
                <w:sz w:val="17"/>
                <w:szCs w:val="17"/>
              </w:rPr>
              <w:t xml:space="preserve">No-show con cobro</w:t>
            </w:r>
          </w:p>
        </w:tc>
        <w:tc>
          <w:tcPr>
            <w:tcW w:type="dxa" w:w="1500"/>
            <w:tcBorders>
              <w:top w:val="single" w:color="D9D9D2" w:sz="2"/>
              <w:left w:val="single" w:color="D9D9D2" w:sz="2"/>
              <w:bottom w:val="single" w:color="D9D9D2" w:sz="2"/>
              <w:right w:val="single" w:color="D9D9D2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B54708"/>
                <w:sz w:val="16"/>
                <w:szCs w:val="16"/>
              </w:rPr>
              <w:t xml:space="preserve">Parcial</w:t>
            </w:r>
          </w:p>
        </w:tc>
        <w:tc>
          <w:tcPr>
            <w:tcW w:type="dxa" w:w="3140"/>
            <w:tcBorders>
              <w:top w:val="single" w:color="D9D9D2" w:sz="2"/>
              <w:left w:val="single" w:color="D9D9D2" w:sz="2"/>
              <w:bottom w:val="single" w:color="D9D9D2" w:sz="2"/>
              <w:right w:val="single" w:color="D9D9D2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6B6B62"/>
                <w:sz w:val="15"/>
                <w:szCs w:val="15"/>
              </w:rPr>
              <w:t xml:space="preserve">Cron no-shows existe; aviso previo a la clienta sin confirmar</w:t>
            </w:r>
          </w:p>
        </w:tc>
      </w:tr>
      <w:tr>
        <w:tc>
          <w:tcPr>
            <w:tcW w:type="dxa" w:w="1150"/>
            <w:tcBorders>
              <w:top w:val="single" w:color="D9D9D2" w:sz="2"/>
              <w:left w:val="single" w:color="D9D9D2" w:sz="2"/>
              <w:bottom w:val="single" w:color="D9D9D2" w:sz="2"/>
              <w:right w:val="single" w:color="D9D9D2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A1A17"/>
                <w:sz w:val="16"/>
                <w:szCs w:val="16"/>
              </w:rPr>
              <w:t xml:space="preserve">TNT-010</w:t>
            </w:r>
          </w:p>
        </w:tc>
        <w:tc>
          <w:tcPr>
            <w:tcW w:type="dxa" w:w="3050"/>
            <w:tcBorders>
              <w:top w:val="single" w:color="D9D9D2" w:sz="2"/>
              <w:left w:val="single" w:color="D9D9D2" w:sz="2"/>
              <w:bottom w:val="single" w:color="D9D9D2" w:sz="2"/>
              <w:right w:val="single" w:color="D9D9D2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1A17"/>
                <w:sz w:val="17"/>
                <w:szCs w:val="17"/>
              </w:rPr>
              <w:t xml:space="preserve">Reformers como recurso</w:t>
            </w:r>
          </w:p>
        </w:tc>
        <w:tc>
          <w:tcPr>
            <w:tcW w:type="dxa" w:w="1500"/>
            <w:tcBorders>
              <w:top w:val="single" w:color="D9D9D2" w:sz="2"/>
              <w:left w:val="single" w:color="D9D9D2" w:sz="2"/>
              <w:bottom w:val="single" w:color="D9D9D2" w:sz="2"/>
              <w:right w:val="single" w:color="D9D9D2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B54708"/>
                <w:sz w:val="16"/>
                <w:szCs w:val="16"/>
              </w:rPr>
              <w:t xml:space="preserve">Modelo</w:t>
            </w:r>
          </w:p>
        </w:tc>
        <w:tc>
          <w:tcPr>
            <w:tcW w:type="dxa" w:w="3140"/>
            <w:tcBorders>
              <w:top w:val="single" w:color="D9D9D2" w:sz="2"/>
              <w:left w:val="single" w:color="D9D9D2" w:sz="2"/>
              <w:bottom w:val="single" w:color="D9D9D2" w:sz="2"/>
              <w:right w:val="single" w:color="D9D9D2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6B6B62"/>
                <w:sz w:val="15"/>
                <w:szCs w:val="15"/>
              </w:rPr>
              <w:t xml:space="preserve">TipoSpot REFORMER/MAT, Sala.capacidad, aforoMaximo; falta operativa avería</w:t>
            </w:r>
          </w:p>
        </w:tc>
      </w:tr>
      <w:tr>
        <w:tc>
          <w:tcPr>
            <w:tcW w:type="dxa" w:w="1150"/>
            <w:tcBorders>
              <w:top w:val="single" w:color="D9D9D2" w:sz="2"/>
              <w:left w:val="single" w:color="D9D9D2" w:sz="2"/>
              <w:bottom w:val="single" w:color="D9D9D2" w:sz="2"/>
              <w:right w:val="single" w:color="D9D9D2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A1A17"/>
                <w:sz w:val="16"/>
                <w:szCs w:val="16"/>
              </w:rPr>
              <w:t xml:space="preserve">TNT-014</w:t>
            </w:r>
          </w:p>
        </w:tc>
        <w:tc>
          <w:tcPr>
            <w:tcW w:type="dxa" w:w="3050"/>
            <w:tcBorders>
              <w:top w:val="single" w:color="D9D9D2" w:sz="2"/>
              <w:left w:val="single" w:color="D9D9D2" w:sz="2"/>
              <w:bottom w:val="single" w:color="D9D9D2" w:sz="2"/>
              <w:right w:val="single" w:color="D9D9D2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1A17"/>
                <w:sz w:val="17"/>
                <w:szCs w:val="17"/>
              </w:rPr>
              <w:t xml:space="preserve">Panel "atención hoy"</w:t>
            </w:r>
          </w:p>
        </w:tc>
        <w:tc>
          <w:tcPr>
            <w:tcW w:type="dxa" w:w="1500"/>
            <w:tcBorders>
              <w:top w:val="single" w:color="D9D9D2" w:sz="2"/>
              <w:left w:val="single" w:color="D9D9D2" w:sz="2"/>
              <w:bottom w:val="single" w:color="D9D9D2" w:sz="2"/>
              <w:right w:val="single" w:color="D9D9D2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B54708"/>
                <w:sz w:val="16"/>
                <w:szCs w:val="16"/>
              </w:rPr>
              <w:t xml:space="preserve">Dashboard</w:t>
            </w:r>
          </w:p>
        </w:tc>
        <w:tc>
          <w:tcPr>
            <w:tcW w:type="dxa" w:w="3140"/>
            <w:tcBorders>
              <w:top w:val="single" w:color="D9D9D2" w:sz="2"/>
              <w:left w:val="single" w:color="D9D9D2" w:sz="2"/>
              <w:bottom w:val="single" w:color="D9D9D2" w:sz="2"/>
              <w:right w:val="single" w:color="D9D9D2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6B6B62"/>
                <w:sz w:val="15"/>
                <w:szCs w:val="15"/>
              </w:rPr>
              <w:t xml:space="preserve">Dashboard existe; agregación unificada de riesgos del día no hallada</w:t>
            </w:r>
          </w:p>
        </w:tc>
      </w:tr>
      <w:tr>
        <w:tc>
          <w:tcPr>
            <w:tcW w:type="dxa" w:w="1150"/>
            <w:tcBorders>
              <w:top w:val="single" w:color="D9D9D2" w:sz="2"/>
              <w:left w:val="single" w:color="D9D9D2" w:sz="2"/>
              <w:bottom w:val="single" w:color="D9D9D2" w:sz="2"/>
              <w:right w:val="single" w:color="D9D9D2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A1A17"/>
                <w:sz w:val="16"/>
                <w:szCs w:val="16"/>
              </w:rPr>
              <w:t xml:space="preserve">TNT-002</w:t>
            </w:r>
          </w:p>
        </w:tc>
        <w:tc>
          <w:tcPr>
            <w:tcW w:type="dxa" w:w="3050"/>
            <w:tcBorders>
              <w:top w:val="single" w:color="D9D9D2" w:sz="2"/>
              <w:left w:val="single" w:color="D9D9D2" w:sz="2"/>
              <w:bottom w:val="single" w:color="D9D9D2" w:sz="2"/>
              <w:right w:val="single" w:color="D9D9D2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1A17"/>
                <w:sz w:val="17"/>
                <w:szCs w:val="17"/>
              </w:rPr>
              <w:t xml:space="preserve">Dunning (reintentos)</w:t>
            </w:r>
          </w:p>
        </w:tc>
        <w:tc>
          <w:tcPr>
            <w:tcW w:type="dxa" w:w="1500"/>
            <w:tcBorders>
              <w:top w:val="single" w:color="D9D9D2" w:sz="2"/>
              <w:left w:val="single" w:color="D9D9D2" w:sz="2"/>
              <w:bottom w:val="single" w:color="D9D9D2" w:sz="2"/>
              <w:right w:val="single" w:color="D9D9D2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B54708"/>
                <w:sz w:val="16"/>
                <w:szCs w:val="16"/>
              </w:rPr>
              <w:t xml:space="preserve">Infra</w:t>
            </w:r>
          </w:p>
        </w:tc>
        <w:tc>
          <w:tcPr>
            <w:tcW w:type="dxa" w:w="3140"/>
            <w:tcBorders>
              <w:top w:val="single" w:color="D9D9D2" w:sz="2"/>
              <w:left w:val="single" w:color="D9D9D2" w:sz="2"/>
              <w:bottom w:val="single" w:color="D9D9D2" w:sz="2"/>
              <w:right w:val="single" w:color="D9D9D2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6B6B62"/>
                <w:sz w:val="15"/>
                <w:szCs w:val="15"/>
              </w:rPr>
              <w:t xml:space="preserve">Reintentos Inngest + idempotencia Stripe; falta calendario cliente-final</w:t>
            </w:r>
          </w:p>
        </w:tc>
      </w:tr>
      <w:tr>
        <w:tc>
          <w:tcPr>
            <w:tcW w:type="dxa" w:w="1150"/>
            <w:tcBorders>
              <w:top w:val="single" w:color="D9D9D2" w:sz="2"/>
              <w:left w:val="single" w:color="D9D9D2" w:sz="2"/>
              <w:bottom w:val="single" w:color="D9D9D2" w:sz="2"/>
              <w:right w:val="single" w:color="D9D9D2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A1A17"/>
                <w:sz w:val="16"/>
                <w:szCs w:val="16"/>
              </w:rPr>
              <w:t xml:space="preserve">TNT-003</w:t>
            </w:r>
          </w:p>
        </w:tc>
        <w:tc>
          <w:tcPr>
            <w:tcW w:type="dxa" w:w="3050"/>
            <w:tcBorders>
              <w:top w:val="single" w:color="D9D9D2" w:sz="2"/>
              <w:left w:val="single" w:color="D9D9D2" w:sz="2"/>
              <w:bottom w:val="single" w:color="D9D9D2" w:sz="2"/>
              <w:right w:val="single" w:color="D9D9D2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1A17"/>
                <w:sz w:val="17"/>
                <w:szCs w:val="17"/>
              </w:rPr>
              <w:t xml:space="preserve">Conciliación banco vs. software</w:t>
            </w:r>
          </w:p>
        </w:tc>
        <w:tc>
          <w:tcPr>
            <w:tcW w:type="dxa" w:w="1500"/>
            <w:tcBorders>
              <w:top w:val="single" w:color="D9D9D2" w:sz="2"/>
              <w:left w:val="single" w:color="D9D9D2" w:sz="2"/>
              <w:bottom w:val="single" w:color="D9D9D2" w:sz="2"/>
              <w:right w:val="single" w:color="D9D9D2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B54708"/>
                <w:sz w:val="16"/>
                <w:szCs w:val="16"/>
              </w:rPr>
              <w:t xml:space="preserve">Otra cosa</w:t>
            </w:r>
          </w:p>
        </w:tc>
        <w:tc>
          <w:tcPr>
            <w:tcW w:type="dxa" w:w="3140"/>
            <w:tcBorders>
              <w:top w:val="single" w:color="D9D9D2" w:sz="2"/>
              <w:left w:val="single" w:color="D9D9D2" w:sz="2"/>
              <w:bottom w:val="single" w:color="D9D9D2" w:sz="2"/>
              <w:right w:val="single" w:color="D9D9D2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6B6B62"/>
                <w:sz w:val="15"/>
                <w:szCs w:val="15"/>
              </w:rPr>
              <w:t xml:space="preserve">reconciliaciones_pos = arqueo de caja/POS, no payouts Stripe</w:t>
            </w:r>
          </w:p>
        </w:tc>
      </w:tr>
      <w:tr>
        <w:tc>
          <w:tcPr>
            <w:tcW w:type="dxa" w:w="1150"/>
            <w:tcBorders>
              <w:top w:val="single" w:color="D9D9D2" w:sz="2"/>
              <w:left w:val="single" w:color="D9D9D2" w:sz="2"/>
              <w:bottom w:val="single" w:color="D9D9D2" w:sz="2"/>
              <w:right w:val="single" w:color="D9D9D2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A1A17"/>
                <w:sz w:val="16"/>
                <w:szCs w:val="16"/>
              </w:rPr>
              <w:t xml:space="preserve">TNT-001</w:t>
            </w:r>
          </w:p>
        </w:tc>
        <w:tc>
          <w:tcPr>
            <w:tcW w:type="dxa" w:w="3050"/>
            <w:tcBorders>
              <w:top w:val="single" w:color="D9D9D2" w:sz="2"/>
              <w:left w:val="single" w:color="D9D9D2" w:sz="2"/>
              <w:bottom w:val="single" w:color="D9D9D2" w:sz="2"/>
              <w:right w:val="single" w:color="D9D9D2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1A17"/>
                <w:sz w:val="17"/>
                <w:szCs w:val="17"/>
              </w:rPr>
              <w:t xml:space="preserve">Alerta de pago fallido</w:t>
            </w:r>
          </w:p>
        </w:tc>
        <w:tc>
          <w:tcPr>
            <w:tcW w:type="dxa" w:w="1500"/>
            <w:tcBorders>
              <w:top w:val="single" w:color="D9D9D2" w:sz="2"/>
              <w:left w:val="single" w:color="D9D9D2" w:sz="2"/>
              <w:bottom w:val="single" w:color="D9D9D2" w:sz="2"/>
              <w:right w:val="single" w:color="D9D9D2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B54708"/>
                <w:sz w:val="16"/>
                <w:szCs w:val="16"/>
              </w:rPr>
              <w:t xml:space="preserve">Parcial</w:t>
            </w:r>
          </w:p>
        </w:tc>
        <w:tc>
          <w:tcPr>
            <w:tcW w:type="dxa" w:w="3140"/>
            <w:tcBorders>
              <w:top w:val="single" w:color="D9D9D2" w:sz="2"/>
              <w:left w:val="single" w:color="D9D9D2" w:sz="2"/>
              <w:bottom w:val="single" w:color="D9D9D2" w:sz="2"/>
              <w:right w:val="single" w:color="D9D9D2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6B6B62"/>
                <w:sz w:val="15"/>
                <w:szCs w:val="15"/>
              </w:rPr>
              <w:t xml:space="preserve">Webhooks Stripe; notificación proactiva &lt; 5 min al dueño no confirmada</w:t>
            </w:r>
          </w:p>
        </w:tc>
      </w:tr>
      <w:tr>
        <w:tc>
          <w:tcPr>
            <w:tcW w:type="dxa" w:w="1150"/>
            <w:tcBorders>
              <w:top w:val="single" w:color="D9D9D2" w:sz="2"/>
              <w:left w:val="single" w:color="D9D9D2" w:sz="2"/>
              <w:bottom w:val="single" w:color="D9D9D2" w:sz="2"/>
              <w:right w:val="single" w:color="D9D9D2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A1A17"/>
                <w:sz w:val="16"/>
                <w:szCs w:val="16"/>
              </w:rPr>
              <w:t xml:space="preserve">TNT-012</w:t>
            </w:r>
          </w:p>
        </w:tc>
        <w:tc>
          <w:tcPr>
            <w:tcW w:type="dxa" w:w="3050"/>
            <w:tcBorders>
              <w:top w:val="single" w:color="D9D9D2" w:sz="2"/>
              <w:left w:val="single" w:color="D9D9D2" w:sz="2"/>
              <w:bottom w:val="single" w:color="D9D9D2" w:sz="2"/>
              <w:right w:val="single" w:color="D9D9D2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1A17"/>
                <w:sz w:val="17"/>
                <w:szCs w:val="17"/>
              </w:rPr>
              <w:t xml:space="preserve">Sustitución de instructora</w:t>
            </w:r>
          </w:p>
        </w:tc>
        <w:tc>
          <w:tcPr>
            <w:tcW w:type="dxa" w:w="1500"/>
            <w:tcBorders>
              <w:top w:val="single" w:color="D9D9D2" w:sz="2"/>
              <w:left w:val="single" w:color="D9D9D2" w:sz="2"/>
              <w:bottom w:val="single" w:color="D9D9D2" w:sz="2"/>
              <w:right w:val="single" w:color="D9D9D2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B42318"/>
                <w:sz w:val="16"/>
                <w:szCs w:val="16"/>
              </w:rPr>
              <w:t xml:space="preserve">No construido</w:t>
            </w:r>
          </w:p>
        </w:tc>
        <w:tc>
          <w:tcPr>
            <w:tcW w:type="dxa" w:w="3140"/>
            <w:tcBorders>
              <w:top w:val="single" w:color="D9D9D2" w:sz="2"/>
              <w:left w:val="single" w:color="D9D9D2" w:sz="2"/>
              <w:bottom w:val="single" w:color="D9D9D2" w:sz="2"/>
              <w:right w:val="single" w:color="D9D9D2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6B6B62"/>
                <w:sz w:val="15"/>
                <w:szCs w:val="15"/>
              </w:rPr>
              <w:t xml:space="preserve">Sin lógica de cascada por nivel/disponibilidad</w:t>
            </w:r>
          </w:p>
        </w:tc>
      </w:tr>
      <w:tr>
        <w:tc>
          <w:tcPr>
            <w:tcW w:type="dxa" w:w="1150"/>
            <w:tcBorders>
              <w:top w:val="single" w:color="D9D9D2" w:sz="2"/>
              <w:left w:val="single" w:color="D9D9D2" w:sz="2"/>
              <w:bottom w:val="single" w:color="D9D9D2" w:sz="2"/>
              <w:right w:val="single" w:color="D9D9D2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A1A17"/>
                <w:sz w:val="16"/>
                <w:szCs w:val="16"/>
              </w:rPr>
              <w:t xml:space="preserve">TNT-015</w:t>
            </w:r>
          </w:p>
        </w:tc>
        <w:tc>
          <w:tcPr>
            <w:tcW w:type="dxa" w:w="3050"/>
            <w:tcBorders>
              <w:top w:val="single" w:color="D9D9D2" w:sz="2"/>
              <w:left w:val="single" w:color="D9D9D2" w:sz="2"/>
              <w:bottom w:val="single" w:color="D9D9D2" w:sz="2"/>
              <w:right w:val="single" w:color="D9D9D2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1A17"/>
                <w:sz w:val="17"/>
                <w:szCs w:val="17"/>
              </w:rPr>
              <w:t xml:space="preserve">SEPA fiable</w:t>
            </w:r>
          </w:p>
        </w:tc>
        <w:tc>
          <w:tcPr>
            <w:tcW w:type="dxa" w:w="1500"/>
            <w:tcBorders>
              <w:top w:val="single" w:color="D9D9D2" w:sz="2"/>
              <w:left w:val="single" w:color="D9D9D2" w:sz="2"/>
              <w:bottom w:val="single" w:color="D9D9D2" w:sz="2"/>
              <w:right w:val="single" w:color="D9D9D2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B42318"/>
                <w:sz w:val="16"/>
                <w:szCs w:val="16"/>
              </w:rPr>
              <w:t xml:space="preserve">No construido</w:t>
            </w:r>
          </w:p>
        </w:tc>
        <w:tc>
          <w:tcPr>
            <w:tcW w:type="dxa" w:w="3140"/>
            <w:tcBorders>
              <w:top w:val="single" w:color="D9D9D2" w:sz="2"/>
              <w:left w:val="single" w:color="D9D9D2" w:sz="2"/>
              <w:bottom w:val="single" w:color="D9D9D2" w:sz="2"/>
              <w:right w:val="single" w:color="D9D9D2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6B6B62"/>
                <w:sz w:val="15"/>
                <w:szCs w:val="15"/>
              </w:rPr>
              <w:t xml:space="preserve">Métodos: efectivo/tarjeta/Bizum/transferencia/datáfono; sin mandato SEPA</w:t>
            </w:r>
          </w:p>
        </w:tc>
      </w:tr>
      <w:tr>
        <w:tc>
          <w:tcPr>
            <w:tcW w:type="dxa" w:w="1150"/>
            <w:tcBorders>
              <w:top w:val="single" w:color="D9D9D2" w:sz="2"/>
              <w:left w:val="single" w:color="D9D9D2" w:sz="2"/>
              <w:bottom w:val="single" w:color="D9D9D2" w:sz="2"/>
              <w:right w:val="single" w:color="D9D9D2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A1A17"/>
                <w:sz w:val="16"/>
                <w:szCs w:val="16"/>
              </w:rPr>
              <w:t xml:space="preserve">TNT-006</w:t>
            </w:r>
          </w:p>
        </w:tc>
        <w:tc>
          <w:tcPr>
            <w:tcW w:type="dxa" w:w="3050"/>
            <w:tcBorders>
              <w:top w:val="single" w:color="D9D9D2" w:sz="2"/>
              <w:left w:val="single" w:color="D9D9D2" w:sz="2"/>
              <w:bottom w:val="single" w:color="D9D9D2" w:sz="2"/>
              <w:right w:val="single" w:color="D9D9D2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1A17"/>
                <w:sz w:val="17"/>
                <w:szCs w:val="17"/>
              </w:rPr>
              <w:t xml:space="preserve">Migración asistida</w:t>
            </w:r>
          </w:p>
        </w:tc>
        <w:tc>
          <w:tcPr>
            <w:tcW w:type="dxa" w:w="1500"/>
            <w:tcBorders>
              <w:top w:val="single" w:color="D9D9D2" w:sz="2"/>
              <w:left w:val="single" w:color="D9D9D2" w:sz="2"/>
              <w:bottom w:val="single" w:color="D9D9D2" w:sz="2"/>
              <w:right w:val="single" w:color="D9D9D2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6B6B62"/>
                <w:sz w:val="16"/>
                <w:szCs w:val="16"/>
              </w:rPr>
              <w:t xml:space="preserve">Genérico</w:t>
            </w:r>
          </w:p>
        </w:tc>
        <w:tc>
          <w:tcPr>
            <w:tcW w:type="dxa" w:w="3140"/>
            <w:tcBorders>
              <w:top w:val="single" w:color="D9D9D2" w:sz="2"/>
              <w:left w:val="single" w:color="D9D9D2" w:sz="2"/>
              <w:bottom w:val="single" w:color="D9D9D2" w:sz="2"/>
              <w:right w:val="single" w:color="D9D9D2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6B6B62"/>
                <w:sz w:val="15"/>
                <w:szCs w:val="15"/>
              </w:rPr>
              <w:t xml:space="preserve">Import CSV genérico; sin playbook Bsport/Glofox/Mindbody</w:t>
            </w:r>
          </w:p>
        </w:tc>
      </w:tr>
    </w:tbl>
    <w:p>
      <w:pPr>
        <w:spacing w:before="120"/>
      </w:pPr>
      <w:r>
        <w:rPr>
          <w:i/>
          <w:iCs/>
          <w:color w:val="6B6B62"/>
          <w:sz w:val="15"/>
          <w:szCs w:val="15"/>
        </w:rPr>
        <w:t xml:space="preserve">Verde = hecho/superado · Ámbar = parcial o cimiento · Rojo = no construido. Evidencia verificada por lectura directa del código el 16-jul-2026.</w:t>
      </w:r>
    </w:p>
    <w:p>
      <w:pPr>
        <w:pStyle w:val="Heading1"/>
        <w:spacing w:after="140" w:before="320"/>
      </w:pPr>
      <w:r>
        <w:rPr>
          <w:b/>
          <w:bCs/>
          <w:color w:val="1A1A17"/>
          <w:sz w:val="30"/>
          <w:szCs w:val="30"/>
        </w:rPr>
        <w:t xml:space="preserve">3 · Activo oculto (el código tiene, el documento no cuenta)</w:t>
      </w:r>
    </w:p>
    <w:p>
      <w:pPr>
        <w:pBdr>
          <w:bottom w:val="single" w:color="1F5C4D" w:sz="6"/>
        </w:pBdr>
        <w:spacing w:after="160" w:before="60"/>
      </w:pP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b/>
          <w:bCs/>
          <w:color w:val="1A1A17"/>
          <w:sz w:val="20"/>
          <w:szCs w:val="20"/>
        </w:rPr>
        <w:t xml:space="preserve">Decision OS</w:t>
      </w:r>
      <w:r>
        <w:rPr>
          <w:color w:val="1A1A17"/>
          <w:sz w:val="20"/>
          <w:szCs w:val="20"/>
        </w:rPr>
        <w:t xml:space="preserve"> — motor autónomo de recomendaciones con ~8 especialistas y batería de tests (lib/decision/). Es el corazón del producto real.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b/>
          <w:bCs/>
          <w:color w:val="1A1A17"/>
          <w:sz w:val="20"/>
          <w:szCs w:val="20"/>
        </w:rPr>
        <w:t xml:space="preserve">Riesgo de dependencia por instructor</w:t>
      </w:r>
      <w:r>
        <w:rPr>
          <w:color w:val="1A1A17"/>
          <w:sz w:val="20"/>
          <w:szCs w:val="20"/>
        </w:rPr>
        <w:t xml:space="preserve"> — feature desplegada (migr. 0018, cron semanal).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b/>
          <w:bCs/>
          <w:color w:val="1A1A17"/>
          <w:sz w:val="20"/>
          <w:szCs w:val="20"/>
        </w:rPr>
        <w:t xml:space="preserve">POS + datáfono + arqueo</w:t>
      </w:r>
      <w:r>
        <w:rPr>
          <w:color w:val="1A1A17"/>
          <w:sz w:val="20"/>
          <w:szCs w:val="20"/>
        </w:rPr>
        <w:t xml:space="preserve"> con consumo atómico anti-doble-cargo (migr. 0005/0010, PRs #73-74).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color w:val="1A1A17"/>
          <w:sz w:val="20"/>
          <w:szCs w:val="20"/>
        </w:rPr>
        <w:t xml:space="preserve">Backups a R2, comunidad (posts/likes/comentarios), chat de equipo en tiempo real, gamificación (logros/retos/niveles), white-label/theming por estudio (migr. 0019/0020) y portal de clienta.</w:t>
      </w:r>
    </w:p>
    <w:p>
      <w:pPr>
        <w:pStyle w:val="Heading1"/>
        <w:spacing w:after="140" w:before="320"/>
      </w:pPr>
      <w:r>
        <w:rPr>
          <w:b/>
          <w:bCs/>
          <w:color w:val="1A1A17"/>
          <w:sz w:val="30"/>
          <w:szCs w:val="30"/>
        </w:rPr>
        <w:t xml:space="preserve">4 · Riesgos técnicos que la DD debe marcar</w:t>
      </w:r>
    </w:p>
    <w:p>
      <w:pPr>
        <w:spacing w:after="120" w:line="264"/>
      </w:pPr>
      <w:r>
        <w:rPr>
          <w:i/>
          <w:iCs/>
          <w:color w:val="6B6B62"/>
          <w:sz w:val="20"/>
          <w:szCs w:val="20"/>
        </w:rPr>
        <w:t xml:space="preserve">Red flags de inversión, no deuda cosmética. Fuente: auditoría automática del 15-jul-2026.</w:t>
      </w:r>
    </w:p>
    <w:p>
      <w:pPr>
        <w:pStyle w:val="Heading2"/>
        <w:spacing w:after="100" w:before="220"/>
      </w:pPr>
      <w:r>
        <w:rPr>
          <w:b/>
          <w:bCs/>
          <w:color w:val="1F5C4D"/>
          <w:sz w:val="23"/>
          <w:szCs w:val="23"/>
        </w:rPr>
        <w:t xml:space="preserve">4.1 · 🔴 Crítico (remediado en rama, pendiente de merge)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b/>
          <w:bCs/>
          <w:color w:val="B54708"/>
          <w:sz w:val="20"/>
          <w:szCs w:val="20"/>
        </w:rPr>
        <w:t xml:space="preserve">C1/C2 — GDPR Art. 9, gobernanza de migraciones. </w:t>
      </w:r>
      <w:r>
        <w:rPr>
          <w:color w:val="1A1A17"/>
          <w:sz w:val="20"/>
          <w:szCs w:val="20"/>
        </w:rPr>
        <w:t xml:space="preserve">Una colisión de numeración (0014_marca_e_iva vs 0014_rls_ficha_clinica_salud; y el par 0004) puede hacer que un despliegue limpio omita la migración que activa RLS sobre datos de salud (categoría especial: lesiones, embarazo). </w:t>
      </w:r>
      <w:r>
        <w:rPr>
          <w:b/>
          <w:bCs/>
          <w:color w:val="1A1A17"/>
          <w:sz w:val="20"/>
          <w:szCs w:val="20"/>
        </w:rPr>
        <w:t xml:space="preserve">Producción NO está expuesta hoy</w:t>
      </w:r>
      <w:r>
        <w:rPr>
          <w:color w:val="1A1A17"/>
          <w:sz w:val="20"/>
          <w:szCs w:val="20"/>
        </w:rPr>
        <w:t xml:space="preserve">: la RLS se aplicó (evidencia: nota en la migración 0021 + Security Advisor con 0 errores). El riesgo real es un entorno nuevo o un disaster-recovery. ESTADO: RESUELTO en esta rama — migraciones renumeradas a 0029/0030 (idempotentes) + script de verificación en producción. Es una señal de proceso: tablas sensibles no deben nacer sin RLS en la misma migración que las crea.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b/>
          <w:bCs/>
          <w:color w:val="B54708"/>
          <w:sz w:val="20"/>
          <w:szCs w:val="20"/>
        </w:rPr>
        <w:t xml:space="preserve">C3-C5 — Integridad de dinero (ruta panel). </w:t>
      </w:r>
      <w:r>
        <w:rPr>
          <w:color w:val="1A1A17"/>
          <w:sz w:val="20"/>
          <w:szCs w:val="20"/>
        </w:rPr>
        <w:t xml:space="preserve">Las rutas cliente del panel (lib/studio-context.tsx) hacían escrituras fire-and-forget sin comprobar las RPC atómicas del servidor → créditos de fidelidad duplicados, canjes sin pagar, recibos de renovación perdidos. Los PRs #73-75 arreglaron solo el servidor. ESTADO: RESUELTO en esta rama — las tres rutas del panel alineadas con las RPC atómicas (patrón ya probado en servidor), 368/368 tests en verde. Pendiente de merge y despliegue con revisión.</w:t>
      </w:r>
    </w:p>
    <w:p>
      <w:pPr>
        <w:pStyle w:val="Heading2"/>
        <w:spacing w:after="100" w:before="220"/>
      </w:pPr>
      <w:r>
        <w:rPr>
          <w:b/>
          <w:bCs/>
          <w:color w:val="1F5C4D"/>
          <w:sz w:val="23"/>
          <w:szCs w:val="23"/>
        </w:rPr>
        <w:t xml:space="preserve">4.2 · 🟠 Importante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b/>
          <w:bCs/>
          <w:color w:val="B54708"/>
          <w:sz w:val="20"/>
          <w:szCs w:val="20"/>
        </w:rPr>
        <w:t xml:space="preserve">Arquitectura "God context". </w:t>
      </w:r>
      <w:r>
        <w:rPr>
          <w:color w:val="1A1A17"/>
          <w:sz w:val="20"/>
          <w:szCs w:val="20"/>
        </w:rPr>
        <w:t xml:space="preserve">Un único provider de ~2.700 líneas con ~50 useState re-renderiza las 38 páginas ante cualquier cambio; supabase-data.ts de 3.630 líneas. No bloquea la venta, pero encarece cada feature futura: relevante para valorar el coste de escalar el equipo tras la inversión.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b/>
          <w:bCs/>
          <w:color w:val="B54708"/>
          <w:sz w:val="20"/>
          <w:szCs w:val="20"/>
        </w:rPr>
        <w:t xml:space="preserve">Superficie pública sin protección. </w:t>
      </w:r>
      <w:r>
        <w:rPr>
          <w:color w:val="1A1A17"/>
          <w:sz w:val="20"/>
          <w:szCs w:val="20"/>
        </w:rPr>
        <w:t xml:space="preserve">Sin rate limiting en endpoints públicos y una ruta de enumeración de PII sin autenticar (/api/public/login).</w:t>
      </w:r>
    </w:p>
    <w:p>
      <w:pPr>
        <w:pStyle w:val="Heading1"/>
        <w:spacing w:after="140" w:before="320"/>
      </w:pPr>
      <w:r>
        <w:rPr>
          <w:b/>
          <w:bCs/>
          <w:color w:val="1A1A17"/>
          <w:sz w:val="30"/>
          <w:szCs w:val="30"/>
        </w:rPr>
        <w:t xml:space="preserve">5 · Recomendación al comité</w:t>
      </w:r>
    </w:p>
    <w:p>
      <w:pPr>
        <w:pBdr>
          <w:bottom w:val="single" w:color="1F5C4D" w:sz="6"/>
        </w:pBdr>
        <w:spacing w:after="160" w:before="60"/>
      </w:pP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b/>
          <w:bCs/>
          <w:color w:val="1A1A17"/>
          <w:sz w:val="20"/>
          <w:szCs w:val="20"/>
        </w:rPr>
        <w:t xml:space="preserve">Antes de firmar: </w:t>
      </w:r>
      <w:r>
        <w:rPr>
          <w:color w:val="1A1A17"/>
          <w:sz w:val="20"/>
          <w:szCs w:val="20"/>
        </w:rPr>
        <w:t xml:space="preserve">exigir el merge verificado de la rama de remediación (RLS de salud confirmada en producción con el script de verificación + rutas de dinero del panel con tests en verde). El trabajo está hecho; falta la revisión y el despliegue.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b/>
          <w:bCs/>
          <w:color w:val="1A1A17"/>
          <w:sz w:val="20"/>
          <w:szCs w:val="20"/>
        </w:rPr>
        <w:t xml:space="preserve">Corregir la narrativa de inversión: </w:t>
      </w:r>
      <w:r>
        <w:rPr>
          <w:color w:val="1A1A17"/>
          <w:sz w:val="20"/>
          <w:szCs w:val="20"/>
        </w:rPr>
        <w:t xml:space="preserve">el documento infravende el activo (Decision OS, WhatsApp y Veri*Factu ya existen) y describe un producto distinto al desplegado. Reescribir el documento maestro partiendo del código real, no de la investigación de mercado.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b/>
          <w:bCs/>
          <w:color w:val="1A1A17"/>
          <w:sz w:val="20"/>
          <w:szCs w:val="20"/>
        </w:rPr>
        <w:t xml:space="preserve">Respetar la nota final del propio documento: </w:t>
      </w:r>
      <w:r>
        <w:rPr>
          <w:color w:val="1A1A17"/>
          <w:sz w:val="20"/>
          <w:szCs w:val="20"/>
        </w:rPr>
        <w:t xml:space="preserve">cero clientes de pago. Todo el ranking es hipótesis sin validar. La prioridad real no es Fase 2/3, sino cerrar los riesgos críticos y conseguir 5-10 estudios reales de pago.</w:t>
      </w:r>
    </w:p>
    <w:p>
      <w:pPr>
        <w:pBdr>
          <w:top w:val="single" w:color="D9D9D2" w:sz="4"/>
        </w:pBdr>
        <w:spacing w:before="320"/>
      </w:pPr>
      <w:r>
        <w:rPr>
          <w:i/>
          <w:iCs/>
          <w:color w:val="6B6B62"/>
          <w:sz w:val="15"/>
          <w:szCs w:val="15"/>
        </w:rPr>
        <w:t xml:space="preserve">Metodología: revisión de solo lectura del árbol de trabajo (rama claude/tentare-product-master) + auditoría automática AUDITORIA-2026-07-15.md. Ningún archivo modificado durante la evaluación. Las afirmaciones de estado se verificaron por lectura directa de los archivos citados.</w:t>
      </w:r>
    </w:p>
    <w:sectPr>
      <w:pgSz w:w="12240" w:h="15840" w:orient="portrait"/>
      <w:pgMar w:top="1440" w:right="1700" w:bottom="1440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40" w:hanging="200"/>
      </w:pPr>
      <w:rPr>
        <w:color w:val="1F5C4D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</w:pPr>
    <w:rPr>
      <w:b/>
      <w:bCs/>
      <w:color w:val="1A1A1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</w:pPr>
    <w:rPr>
      <w:b/>
      <w:bCs/>
      <w:color w:val="1F5C4D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DD Técnica Tentare — Roadmap vs. Código</dc:title>
  <dc:creator>Tentare · Due Diligence Técnica</dc:creator>
  <cp:lastModifiedBy>Un-named</cp:lastModifiedBy>
  <cp:revision>1</cp:revision>
  <dcterms:created xsi:type="dcterms:W3CDTF">2026-07-15T23:15:22.001Z</dcterms:created>
  <dcterms:modified xsi:type="dcterms:W3CDTF">2026-07-15T23:15:22.003Z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