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de Research DTC v3.3 + Proyecto Hígado MX</w:t>
      </w:r>
    </w:p>
    <w:p>
      <w:r>
        <w:t xml:space="preserve">Máquina </w:t>
      </w:r>
      <w:r>
        <w:rPr>
          <w:b/>
        </w:rPr>
        <w:t>repetible, auditable y auto-correctiva</w:t>
      </w:r>
      <w:r>
        <w:t xml:space="preserve"> de research pre-lanzamiento para productos DTC (ads Meta/TikTok, metodología Schwartz), más el primer producto ejecutado con ella: un suplemento hepático para México.</w:t>
      </w:r>
    </w:p>
    <w:p>
      <w:pPr>
        <w:pStyle w:val="Heading2"/>
      </w:pPr>
      <w:r>
        <w:t>Empieza aquí</w:t>
      </w:r>
    </w:p>
    <w:p>
      <w:pPr>
        <w:pStyle w:val="ListBullet"/>
      </w:pPr>
      <w:r>
        <w:rPr>
          <w:b/>
        </w:rPr>
        <w:t>[HANDOFF.md](HANDOFF.md)</w:t>
      </w:r>
      <w:r>
        <w:t xml:space="preserve"> — traspaso completo: qué es, qué se hizo, el veredicto vigente, cómo continuar.</w:t>
      </w:r>
    </w:p>
    <w:p>
      <w:pPr>
        <w:pStyle w:val="ListBullet"/>
      </w:pPr>
      <w:r>
        <w:rPr>
          <w:b/>
        </w:rPr>
        <w:t>[v3.1/DOC 00 — Master Spine v3.2 (post-contraste)](v3.1/)</w:t>
      </w:r>
      <w:r>
        <w:t xml:space="preserve"> — el </w:t>
      </w:r>
      <w:r>
        <w:rPr>
          <w:b/>
        </w:rPr>
        <w:t>veredicto estratégico VIGENTE</w:t>
      </w:r>
      <w:r>
        <w:t xml:space="preserve"> (corregido por el contraste; el frame v3 fue refutado).</w:t>
      </w:r>
    </w:p>
    <w:p>
      <w:pPr>
        <w:pStyle w:val="ListBullet"/>
      </w:pPr>
      <w:r>
        <w:rPr>
          <w:b/>
        </w:rPr>
        <w:t>[v3.1/MOTOR DE RESEARCH v3.3 — Adenda Doble Vía](v3.1/)</w:t>
      </w:r>
      <w:r>
        <w:t xml:space="preserve"> — la regla núcleo: deep research + scraping + contraste, obligatorio.</w:t>
      </w:r>
    </w:p>
    <w:p>
      <w:pPr>
        <w:pStyle w:val="ListBullet"/>
      </w:pPr>
      <w:r>
        <w:rPr>
          <w:b/>
        </w:rPr>
        <w:t>[CONSOLIDADO — Research Hígado MX.xlsx](CONSOLIDADO%20—%20Research%20Hígado%20MX.xlsx)</w:t>
      </w:r>
      <w:r>
        <w:t xml:space="preserve"> — resumen ejecutivo con tier lists + hooks v3.2.</w:t>
      </w:r>
    </w:p>
    <w:p>
      <w:pPr>
        <w:pStyle w:val="Heading2"/>
      </w:pPr>
      <w:r>
        <w:t>La regla del motor (v3.3)</w:t>
      </w:r>
    </w:p>
    <w:p>
      <w:r>
        <w:t xml:space="preserve">Todo research combina </w:t>
      </w:r>
      <w:r>
        <w:rPr>
          <w:b/>
        </w:rPr>
        <w:t>Vía A (deep research web, con fuentes)</w:t>
      </w:r>
      <w:r>
        <w:t xml:space="preserve"> + </w:t>
      </w:r>
      <w:r>
        <w:rPr>
          <w:b/>
        </w:rPr>
        <w:t>Vía B (scraping VoC del corpus, con IDs)</w:t>
      </w:r>
      <w:r>
        <w:t xml:space="preserve"> y cierra el loop con un </w:t>
      </w:r>
      <w:r>
        <w:rPr>
          <w:b/>
        </w:rPr>
        <w:t>documento de contraste</w:t>
      </w:r>
      <w:r>
        <w:t xml:space="preserve"> (Hipótesis vs Realidad VoC vs Veredicto). Donde el scraping contradice al research, </w:t>
      </w:r>
      <w:r>
        <w:rPr>
          <w:b/>
        </w:rPr>
        <w:t>manda el scraping</w:t>
      </w:r>
      <w:r>
        <w:t>. El Spine se reconcilia al final.</w:t>
      </w:r>
    </w:p>
    <w:p>
      <w:pPr>
        <w:pStyle w:val="Heading2"/>
      </w:pPr>
      <w:r>
        <w:t>Qué contiene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t>Motor generalizado (repetible)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v3.1/MOTOR ... v3.1 Spec</w:t>
            </w:r>
            <w:r>
              <w:t xml:space="preserve"> + </w:t>
            </w:r>
            <w:r>
              <w:rPr>
                <w:rFonts w:ascii="Consolas" w:hAnsi="Consolas"/>
                <w:color w:val="C03030"/>
              </w:rPr>
              <w:t>v3.3 Adenda</w:t>
            </w:r>
            <w:r>
              <w:t xml:space="preserve"> + </w:t>
            </w:r>
            <w:r>
              <w:rPr>
                <w:rFonts w:ascii="Consolas" w:hAnsi="Consolas"/>
                <w:color w:val="C03030"/>
              </w:rPr>
              <w:t>v3.1/README</w:t>
            </w:r>
          </w:p>
        </w:tc>
      </w:tr>
      <w:tr>
        <w:tc>
          <w:tcPr>
            <w:tcW w:type="dxa" w:w="4320"/>
          </w:tcPr>
          <w:p>
            <w:r>
              <w:t>Evidencia canónica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v3.1/evidence_bank.csv</w:t>
            </w:r>
            <w:r>
              <w:t xml:space="preserve"> (13,548 confesiones con IDs)</w:t>
            </w:r>
          </w:p>
        </w:tc>
      </w:tr>
      <w:tr>
        <w:tc>
          <w:tcPr>
            <w:tcW w:type="dxa" w:w="4320"/>
          </w:tcPr>
          <w:p>
            <w:r>
              <w:t>Scoring transparente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v3.1/PI_SCORES.csv</w:t>
            </w:r>
            <w:r>
              <w:t xml:space="preserve"> + </w:t>
            </w:r>
            <w:r>
              <w:rPr>
                <w:rFonts w:ascii="Consolas" w:hAnsi="Consolas"/>
                <w:color w:val="C03030"/>
              </w:rPr>
              <w:t>CLUSTER_REPORT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Contraste (Deep Research × VoC)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v3.1/DOC 15b/18b/19b/20b/COMPETITOR_MAP b</w:t>
            </w:r>
          </w:p>
        </w:tc>
      </w:tr>
      <w:tr>
        <w:tc>
          <w:tcPr>
            <w:tcW w:type="dxa" w:w="4320"/>
          </w:tcPr>
          <w:p>
            <w:r>
              <w:t>Estrategia vigente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v3.1/DOC 00 — Master Spine v3.2</w:t>
            </w:r>
          </w:p>
        </w:tc>
      </w:tr>
      <w:tr>
        <w:tc>
          <w:tcPr>
            <w:tcW w:type="dxa" w:w="4320"/>
          </w:tcPr>
          <w:p>
            <w:r>
              <w:t>Producción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v3.1/DOC 21b — Banco de Hooks v3.2</w:t>
            </w:r>
            <w:r>
              <w:t xml:space="preserve"> (36 hooks)</w:t>
            </w:r>
          </w:p>
        </w:tc>
      </w:tr>
      <w:tr>
        <w:tc>
          <w:tcPr>
            <w:tcW w:type="dxa" w:w="4320"/>
          </w:tcPr>
          <w:p>
            <w:r>
              <w:t>Scripts ejecutables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03030"/>
              </w:rPr>
              <w:t>scripts/</w:t>
            </w:r>
          </w:p>
        </w:tc>
      </w:tr>
    </w:tbl>
    <w:p/>
    <w:p>
      <w:pPr>
        <w:pStyle w:val="Heading2"/>
      </w:pPr>
      <w:r>
        <w:t>Seguridad</w:t>
      </w:r>
    </w:p>
    <w:p>
      <w:r>
        <w:t xml:space="preserve">Los tokens de API (Apify, TrendTrack, GitHub) viven </w:t>
      </w:r>
      <w:r>
        <w:rPr>
          <w:b/>
        </w:rPr>
        <w:t>fuera del repo</w:t>
      </w:r>
      <w:r>
        <w:t xml:space="preserve"> en </w:t>
      </w:r>
      <w:r>
        <w:rPr>
          <w:rFonts w:ascii="Consolas" w:hAnsi="Consolas"/>
          <w:color w:val="C03030"/>
        </w:rPr>
        <w:t>C:\Users\Thomas\research_secrets.env</w:t>
      </w:r>
      <w:r>
        <w:t xml:space="preserve">. Nunca se commitean (ver </w:t>
      </w:r>
      <w:r>
        <w:rPr>
          <w:rFonts w:ascii="Consolas" w:hAnsi="Consolas"/>
          <w:color w:val="C03030"/>
        </w:rPr>
        <w:t>.gitignore</w:t>
      </w:r>
      <w:r>
        <w:t>).</w:t>
      </w:r>
    </w:p>
    <w:p>
      <w:pPr>
        <w:pStyle w:val="Heading2"/>
      </w:pPr>
      <w:r>
        <w:t>Estado</w:t>
      </w:r>
    </w:p>
    <w:p>
      <w:r>
        <w:t xml:space="preserve">Motor </w:t>
      </w:r>
      <w:r>
        <w:rPr>
          <w:b/>
        </w:rPr>
        <w:t>v3.3</w:t>
      </w:r>
      <w:r>
        <w:t xml:space="preserve"> · Proyecto hígado research </w:t>
      </w:r>
      <w:r>
        <w:rPr>
          <w:b/>
        </w:rPr>
        <w:t>v3.2</w:t>
      </w:r>
      <w:r>
        <w:t xml:space="preserve"> (post-contraste) · Validación </w:t>
      </w:r>
      <w:r>
        <w:rPr>
          <w:b/>
        </w:rPr>
        <w:t>APROBADO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