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VALIDATION REPORT — Motor v3.1</w:t>
      </w:r>
    </w:p>
    <w:p>
      <w:r>
        <w:t>*Checks automáticos sobre el corpus y los documentos.*</w:t>
      </w:r>
    </w:p>
    <w:p>
      <w:pPr>
        <w:pStyle w:val="ListBullet"/>
      </w:pPr>
      <w:r>
        <w:t xml:space="preserve">IDs válidos en DOC 14 (evidence_bank.csv): </w:t>
      </w:r>
      <w:r>
        <w:rPr>
          <w:b/>
        </w:rPr>
        <w:t>13,548</w:t>
      </w:r>
    </w:p>
    <w:p>
      <w:pPr>
        <w:pStyle w:val="ListBullet"/>
      </w:pPr>
      <w:r>
        <w:t xml:space="preserve">Clusters válidos en PI_SCORES: </w:t>
      </w:r>
      <w:r>
        <w:rPr>
          <w:b/>
        </w:rPr>
        <w:t>27</w:t>
      </w:r>
    </w:p>
    <w:p>
      <w:pPr>
        <w:pStyle w:val="Heading2"/>
      </w:pPr>
      <w:r>
        <w:t>Resultado por documento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EV-IDs citados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válidos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colgantes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frases residuales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TEAM_SEED como prueba</w:t>
            </w:r>
          </w:p>
        </w:tc>
      </w:tr>
      <w:tr>
        <w:tc>
          <w:tcPr>
            <w:tcW w:type="dxa" w:w="1440"/>
          </w:tcPr>
          <w:p>
            <w:r>
              <w:t>DOC 00 — Master Spine (Veredicto Estratégico).</w:t>
            </w:r>
          </w:p>
        </w:tc>
        <w:tc>
          <w:tcPr>
            <w:tcW w:type="dxa" w:w="1440"/>
          </w:tcPr>
          <w:p>
            <w:r>
              <w:t>⚠️ 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no</w:t>
            </w:r>
          </w:p>
        </w:tc>
      </w:tr>
      <w:tr>
        <w:tc>
          <w:tcPr>
            <w:tcW w:type="dxa" w:w="1440"/>
          </w:tcPr>
          <w:p>
            <w:r>
              <w:t>DOC 15 — Retrato del Cliente (Avatar Core 5 +</w:t>
            </w:r>
          </w:p>
        </w:tc>
        <w:tc>
          <w:tcPr>
            <w:tcW w:type="dxa" w:w="1440"/>
          </w:tcPr>
          <w:p>
            <w:r>
              <w:t>⚠️ 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no</w:t>
            </w:r>
          </w:p>
        </w:tc>
      </w:tr>
      <w:tr>
        <w:tc>
          <w:tcPr>
            <w:tcW w:type="dxa" w:w="1440"/>
          </w:tcPr>
          <w:p>
            <w:r>
              <w:t>DOC 16 — Banco de Lenguaje, Hooks e Identidad</w:t>
            </w:r>
          </w:p>
        </w:tc>
        <w:tc>
          <w:tcPr>
            <w:tcW w:type="dxa" w:w="1440"/>
          </w:tcPr>
          <w:p>
            <w:r>
              <w:t>⚠️ 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no</w:t>
            </w:r>
          </w:p>
        </w:tc>
      </w:tr>
      <w:tr>
        <w:tc>
          <w:tcPr>
            <w:tcW w:type="dxa" w:w="1440"/>
          </w:tcPr>
          <w:p>
            <w:r>
              <w:t>DOC 19 — UMP-UMS-USP Mecanismos Únicos.md</w:t>
            </w:r>
          </w:p>
        </w:tc>
        <w:tc>
          <w:tcPr>
            <w:tcW w:type="dxa" w:w="1440"/>
          </w:tcPr>
          <w:p>
            <w:r>
              <w:t>⚠️ 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no</w:t>
            </w:r>
          </w:p>
        </w:tc>
      </w:tr>
      <w:tr>
        <w:tc>
          <w:tcPr>
            <w:tcW w:type="dxa" w:w="1440"/>
          </w:tcPr>
          <w:p>
            <w:r>
              <w:t>DOC 20 — Mapa de Dolores + Buyer Psychology.md</w:t>
            </w:r>
          </w:p>
        </w:tc>
        <w:tc>
          <w:tcPr>
            <w:tcW w:type="dxa" w:w="1440"/>
          </w:tcPr>
          <w:p>
            <w:r>
              <w:t>⚠️ 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no</w:t>
            </w:r>
          </w:p>
        </w:tc>
      </w:tr>
      <w:tr>
        <w:tc>
          <w:tcPr>
            <w:tcW w:type="dxa" w:w="1440"/>
          </w:tcPr>
          <w:p>
            <w:r>
              <w:t>DOC 21 — Banco de Hooks para Producción.md</w:t>
            </w:r>
          </w:p>
        </w:tc>
        <w:tc>
          <w:tcPr>
            <w:tcW w:type="dxa" w:w="1440"/>
          </w:tcPr>
          <w:p>
            <w:r>
              <w:t>⚠️ 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no</w:t>
            </w:r>
          </w:p>
        </w:tc>
      </w:tr>
      <w:tr>
        <w:tc>
          <w:tcPr>
            <w:tcW w:type="dxa" w:w="1440"/>
          </w:tcPr>
          <w:p>
            <w:r>
              <w:t>CLUSTER_REPORT.md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no</w:t>
            </w:r>
          </w:p>
        </w:tc>
      </w:tr>
      <w:tr>
        <w:tc>
          <w:tcPr>
            <w:tcW w:type="dxa" w:w="1440"/>
          </w:tcPr>
          <w:p>
            <w:r>
              <w:t>COMPETITOR_MAP.md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no</w:t>
            </w:r>
          </w:p>
        </w:tc>
      </w:tr>
      <w:tr>
        <w:tc>
          <w:tcPr>
            <w:tcW w:type="dxa" w:w="1440"/>
          </w:tcPr>
          <w:p>
            <w:r>
              <w:t>DATA QUALITY REPORT.md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no</w:t>
            </w:r>
          </w:p>
        </w:tc>
      </w:tr>
      <w:tr>
        <w:tc>
          <w:tcPr>
            <w:tcW w:type="dxa" w:w="1440"/>
          </w:tcPr>
          <w:p>
            <w:r>
              <w:t>DOC 00 — Master Spine actualizado.md</w:t>
            </w:r>
          </w:p>
        </w:tc>
        <w:tc>
          <w:tcPr>
            <w:tcW w:type="dxa" w:w="1440"/>
          </w:tcPr>
          <w:p>
            <w:r>
              <w:t>⚠️ 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SÍ ⚠️</w:t>
            </w:r>
          </w:p>
        </w:tc>
      </w:tr>
      <w:tr>
        <w:tc>
          <w:tcPr>
            <w:tcW w:type="dxa" w:w="1440"/>
          </w:tcPr>
          <w:p>
            <w:r>
              <w:t>DOC 14 — Banco de Evidencia Canónico.md</w:t>
            </w:r>
          </w:p>
        </w:tc>
        <w:tc>
          <w:tcPr>
            <w:tcW w:type="dxa" w:w="1440"/>
          </w:tcPr>
          <w:p>
            <w:r>
              <w:t>51</w:t>
            </w:r>
          </w:p>
        </w:tc>
        <w:tc>
          <w:tcPr>
            <w:tcW w:type="dxa" w:w="1440"/>
          </w:tcPr>
          <w:p>
            <w:r>
              <w:t>51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no</w:t>
            </w:r>
          </w:p>
        </w:tc>
      </w:tr>
      <w:tr>
        <w:tc>
          <w:tcPr>
            <w:tcW w:type="dxa" w:w="1440"/>
          </w:tcPr>
          <w:p>
            <w:r>
              <w:t>MOTOR DE RESEARCH v3.1 — Spec Operativo.md</w:t>
            </w:r>
          </w:p>
        </w:tc>
        <w:tc>
          <w:tcPr>
            <w:tcW w:type="dxa" w:w="1440"/>
          </w:tcPr>
          <w:p>
            <w:r>
              <w:t>⚠️ 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SÍ ⚠️</w:t>
            </w:r>
          </w:p>
        </w:tc>
      </w:tr>
      <w:tr>
        <w:tc>
          <w:tcPr>
            <w:tcW w:type="dxa" w:w="1440"/>
          </w:tcPr>
          <w:p>
            <w:r>
              <w:t>README — Cómo ejecutar este motor en otro prod</w:t>
            </w:r>
          </w:p>
        </w:tc>
        <w:tc>
          <w:tcPr>
            <w:tcW w:type="dxa" w:w="1440"/>
          </w:tcPr>
          <w:p>
            <w:r>
              <w:t>⚠️ 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no</w:t>
            </w:r>
          </w:p>
        </w:tc>
      </w:tr>
      <w:tr>
        <w:tc>
          <w:tcPr>
            <w:tcW w:type="dxa" w:w="1440"/>
          </w:tcPr>
          <w:p>
            <w:r>
              <w:t>RECONCILIATION PASS.md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no</w:t>
            </w:r>
          </w:p>
        </w:tc>
      </w:tr>
      <w:tr>
        <w:tc>
          <w:tcPr>
            <w:tcW w:type="dxa" w:w="1440"/>
          </w:tcPr>
          <w:p>
            <w:r>
              <w:t>VALIDATION REPORT.md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no</w:t>
            </w:r>
          </w:p>
        </w:tc>
      </w:tr>
    </w:tbl>
    <w:p/>
    <w:p>
      <w:pPr>
        <w:pStyle w:val="Heading2"/>
      </w:pPr>
      <w:r>
        <w:t>Hallazgos y estado</w:t>
      </w:r>
    </w:p>
    <w:p>
      <w:pPr>
        <w:pStyle w:val="Heading3"/>
      </w:pPr>
      <w:r>
        <w:t>1. Frases residuales de ejecución (deben eliminarse)</w:t>
      </w:r>
    </w:p>
    <w:p>
      <w:pPr>
        <w:pStyle w:val="ListBullet"/>
      </w:pPr>
      <w:r>
        <w:t>✅ Ninguna detectada.</w:t>
      </w:r>
    </w:p>
    <w:p>
      <w:pPr>
        <w:pStyle w:val="Heading3"/>
      </w:pPr>
      <w:r>
        <w:t>2. IDs colgantes (citan IDs que no existen en DOC 14)</w:t>
      </w:r>
    </w:p>
    <w:p>
      <w:pPr>
        <w:pStyle w:val="ListBullet"/>
      </w:pPr>
      <w:r>
        <w:t>✅ Ningún ID colgante.</w:t>
      </w:r>
    </w:p>
    <w:p>
      <w:pPr>
        <w:pStyle w:val="Heading3"/>
      </w:pPr>
      <w:r>
        <w:t>3. Documentos que hacen afirmaciones con evidencia pero NO citan IDs canónicos (migrar a EV-IDs)</w:t>
      </w:r>
    </w:p>
    <w:p>
      <w:pPr>
        <w:pStyle w:val="ListBullet"/>
      </w:pPr>
      <w:r>
        <w:t xml:space="preserve">⚠️ </w:t>
      </w:r>
      <w:r>
        <w:rPr>
          <w:b/>
        </w:rPr>
        <w:t>DOC 00 — Master Spine (Veredicto Estratégico).md</w:t>
      </w:r>
      <w:r>
        <w:t xml:space="preserve"> — cita con formato </w:t>
      </w:r>
      <w:r>
        <w:rPr>
          <w:rFonts w:ascii="Consolas" w:hAnsi="Consolas"/>
          <w:color w:val="C03030"/>
        </w:rPr>
        <w:t>[plataforma·engagement]</w:t>
      </w:r>
      <w:r>
        <w:t xml:space="preserve"> (v3), falta migrar a </w:t>
      </w:r>
      <w:r>
        <w:rPr>
          <w:rFonts w:ascii="Consolas" w:hAnsi="Consolas"/>
          <w:color w:val="C03030"/>
        </w:rPr>
        <w:t>EVxxxx</w:t>
      </w:r>
      <w:r>
        <w:t xml:space="preserve"> de DOC 14.</w:t>
      </w:r>
    </w:p>
    <w:p>
      <w:pPr>
        <w:pStyle w:val="ListBullet"/>
      </w:pPr>
      <w:r>
        <w:t xml:space="preserve">⚠️ </w:t>
      </w:r>
      <w:r>
        <w:rPr>
          <w:b/>
        </w:rPr>
        <w:t>DOC 15 — Retrato del Cliente (Avatar Core 5 + Sub-avatares).md</w:t>
      </w:r>
      <w:r>
        <w:t xml:space="preserve"> — cita con formato </w:t>
      </w:r>
      <w:r>
        <w:rPr>
          <w:rFonts w:ascii="Consolas" w:hAnsi="Consolas"/>
          <w:color w:val="C03030"/>
        </w:rPr>
        <w:t>[plataforma·engagement]</w:t>
      </w:r>
      <w:r>
        <w:t xml:space="preserve"> (v3), falta migrar a </w:t>
      </w:r>
      <w:r>
        <w:rPr>
          <w:rFonts w:ascii="Consolas" w:hAnsi="Consolas"/>
          <w:color w:val="C03030"/>
        </w:rPr>
        <w:t>EVxxxx</w:t>
      </w:r>
      <w:r>
        <w:t xml:space="preserve"> de DOC 14.</w:t>
      </w:r>
    </w:p>
    <w:p>
      <w:pPr>
        <w:pStyle w:val="ListBullet"/>
      </w:pPr>
      <w:r>
        <w:t xml:space="preserve">⚠️ </w:t>
      </w:r>
      <w:r>
        <w:rPr>
          <w:b/>
        </w:rPr>
        <w:t>DOC 16 — Banco de Lenguaje, Hooks e Identidad Reclamada.md</w:t>
      </w:r>
      <w:r>
        <w:t xml:space="preserve"> — cita con formato </w:t>
      </w:r>
      <w:r>
        <w:rPr>
          <w:rFonts w:ascii="Consolas" w:hAnsi="Consolas"/>
          <w:color w:val="C03030"/>
        </w:rPr>
        <w:t>[plataforma·engagement]</w:t>
      </w:r>
      <w:r>
        <w:t xml:space="preserve"> (v3), falta migrar a </w:t>
      </w:r>
      <w:r>
        <w:rPr>
          <w:rFonts w:ascii="Consolas" w:hAnsi="Consolas"/>
          <w:color w:val="C03030"/>
        </w:rPr>
        <w:t>EVxxxx</w:t>
      </w:r>
      <w:r>
        <w:t xml:space="preserve"> de DOC 14.</w:t>
      </w:r>
    </w:p>
    <w:p>
      <w:pPr>
        <w:pStyle w:val="ListBullet"/>
      </w:pPr>
      <w:r>
        <w:t xml:space="preserve">⚠️ </w:t>
      </w:r>
      <w:r>
        <w:rPr>
          <w:b/>
        </w:rPr>
        <w:t>DOC 19 — UMP-UMS-USP Mecanismos Únicos.md</w:t>
      </w:r>
      <w:r>
        <w:t xml:space="preserve"> — cita con formato </w:t>
      </w:r>
      <w:r>
        <w:rPr>
          <w:rFonts w:ascii="Consolas" w:hAnsi="Consolas"/>
          <w:color w:val="C03030"/>
        </w:rPr>
        <w:t>[plataforma·engagement]</w:t>
      </w:r>
      <w:r>
        <w:t xml:space="preserve"> (v3), falta migrar a </w:t>
      </w:r>
      <w:r>
        <w:rPr>
          <w:rFonts w:ascii="Consolas" w:hAnsi="Consolas"/>
          <w:color w:val="C03030"/>
        </w:rPr>
        <w:t>EVxxxx</w:t>
      </w:r>
      <w:r>
        <w:t xml:space="preserve"> de DOC 14.</w:t>
      </w:r>
    </w:p>
    <w:p>
      <w:pPr>
        <w:pStyle w:val="ListBullet"/>
      </w:pPr>
      <w:r>
        <w:t xml:space="preserve">⚠️ </w:t>
      </w:r>
      <w:r>
        <w:rPr>
          <w:b/>
        </w:rPr>
        <w:t>DOC 20 — Mapa de Dolores + Buyer Psychology.md</w:t>
      </w:r>
      <w:r>
        <w:t xml:space="preserve"> — cita con formato </w:t>
      </w:r>
      <w:r>
        <w:rPr>
          <w:rFonts w:ascii="Consolas" w:hAnsi="Consolas"/>
          <w:color w:val="C03030"/>
        </w:rPr>
        <w:t>[plataforma·engagement]</w:t>
      </w:r>
      <w:r>
        <w:t xml:space="preserve"> (v3), falta migrar a </w:t>
      </w:r>
      <w:r>
        <w:rPr>
          <w:rFonts w:ascii="Consolas" w:hAnsi="Consolas"/>
          <w:color w:val="C03030"/>
        </w:rPr>
        <w:t>EVxxxx</w:t>
      </w:r>
      <w:r>
        <w:t xml:space="preserve"> de DOC 14.</w:t>
      </w:r>
    </w:p>
    <w:p>
      <w:pPr>
        <w:pStyle w:val="ListBullet"/>
      </w:pPr>
      <w:r>
        <w:t xml:space="preserve">⚠️ </w:t>
      </w:r>
      <w:r>
        <w:rPr>
          <w:b/>
        </w:rPr>
        <w:t>DOC 21 — Banco de Hooks para Producción.md</w:t>
      </w:r>
      <w:r>
        <w:t xml:space="preserve"> — cita con formato </w:t>
      </w:r>
      <w:r>
        <w:rPr>
          <w:rFonts w:ascii="Consolas" w:hAnsi="Consolas"/>
          <w:color w:val="C03030"/>
        </w:rPr>
        <w:t>[plataforma·engagement]</w:t>
      </w:r>
      <w:r>
        <w:t xml:space="preserve"> (v3), falta migrar a </w:t>
      </w:r>
      <w:r>
        <w:rPr>
          <w:rFonts w:ascii="Consolas" w:hAnsi="Consolas"/>
          <w:color w:val="C03030"/>
        </w:rPr>
        <w:t>EVxxxx</w:t>
      </w:r>
      <w:r>
        <w:t xml:space="preserve"> de DOC 14.</w:t>
      </w:r>
    </w:p>
    <w:p>
      <w:pPr>
        <w:pStyle w:val="ListBullet"/>
      </w:pPr>
      <w:r>
        <w:t xml:space="preserve">⚠️ </w:t>
      </w:r>
      <w:r>
        <w:rPr>
          <w:b/>
        </w:rPr>
        <w:t>DOC 00 — Master Spine actualizado.md</w:t>
      </w:r>
      <w:r>
        <w:t xml:space="preserve"> — cita con formato </w:t>
      </w:r>
      <w:r>
        <w:rPr>
          <w:rFonts w:ascii="Consolas" w:hAnsi="Consolas"/>
          <w:color w:val="C03030"/>
        </w:rPr>
        <w:t>[plataforma·engagement]</w:t>
      </w:r>
      <w:r>
        <w:t xml:space="preserve"> (v3), falta migrar a </w:t>
      </w:r>
      <w:r>
        <w:rPr>
          <w:rFonts w:ascii="Consolas" w:hAnsi="Consolas"/>
          <w:color w:val="C03030"/>
        </w:rPr>
        <w:t>EVxxxx</w:t>
      </w:r>
      <w:r>
        <w:t xml:space="preserve"> de DOC 14.</w:t>
      </w:r>
    </w:p>
    <w:p>
      <w:pPr>
        <w:pStyle w:val="ListBullet"/>
      </w:pPr>
      <w:r>
        <w:t xml:space="preserve">⚠️ </w:t>
      </w:r>
      <w:r>
        <w:rPr>
          <w:b/>
        </w:rPr>
        <w:t>MOTOR DE RESEARCH v3.1 — Spec Operativo.md</w:t>
      </w:r>
      <w:r>
        <w:t xml:space="preserve"> — cita con formato </w:t>
      </w:r>
      <w:r>
        <w:rPr>
          <w:rFonts w:ascii="Consolas" w:hAnsi="Consolas"/>
          <w:color w:val="C03030"/>
        </w:rPr>
        <w:t>[plataforma·engagement]</w:t>
      </w:r>
      <w:r>
        <w:t xml:space="preserve"> (v3), falta migrar a </w:t>
      </w:r>
      <w:r>
        <w:rPr>
          <w:rFonts w:ascii="Consolas" w:hAnsi="Consolas"/>
          <w:color w:val="C03030"/>
        </w:rPr>
        <w:t>EVxxxx</w:t>
      </w:r>
      <w:r>
        <w:t xml:space="preserve"> de DOC 14.</w:t>
      </w:r>
    </w:p>
    <w:p>
      <w:pPr>
        <w:pStyle w:val="ListBullet"/>
      </w:pPr>
      <w:r>
        <w:t xml:space="preserve">⚠️ </w:t>
      </w:r>
      <w:r>
        <w:rPr>
          <w:b/>
        </w:rPr>
        <w:t>README — Cómo ejecutar este motor en otro producto.md</w:t>
      </w:r>
      <w:r>
        <w:t xml:space="preserve"> — cita con formato </w:t>
      </w:r>
      <w:r>
        <w:rPr>
          <w:rFonts w:ascii="Consolas" w:hAnsi="Consolas"/>
          <w:color w:val="C03030"/>
        </w:rPr>
        <w:t>[plataforma·engagement]</w:t>
      </w:r>
      <w:r>
        <w:t xml:space="preserve"> (v3), falta migrar a </w:t>
      </w:r>
      <w:r>
        <w:rPr>
          <w:rFonts w:ascii="Consolas" w:hAnsi="Consolas"/>
          <w:color w:val="C03030"/>
        </w:rPr>
        <w:t>EVxxxx</w:t>
      </w:r>
      <w:r>
        <w:t xml:space="preserve"> de DOC 14.</w:t>
      </w:r>
    </w:p>
    <w:p>
      <w:pPr>
        <w:ind w:left="432"/>
      </w:pPr>
      <w:r>
        <w:rPr>
          <w:b/>
          <w:i/>
        </w:rPr>
        <w:t>Estado:</w:t>
      </w:r>
      <w:r>
        <w:rPr>
          <w:i/>
        </w:rPr>
        <w:t xml:space="preserve"> los documentos interpretativos de v3 usan citas legibles pero NO los IDs canónicos del banco. Migración a EV-IDs = deuda técnica documentada (los IDs ya existen en evidence_bank.csv; el texto de cada cita es trazable por búsqueda).</w:t>
      </w:r>
    </w:p>
    <w:p>
      <w:pPr>
        <w:pStyle w:val="Heading3"/>
      </w:pPr>
      <w:r>
        <w:t>4. TEAM_SEED usado como prueba</w:t>
      </w:r>
    </w:p>
    <w:p>
      <w:pPr>
        <w:pStyle w:val="ListBullet"/>
      </w:pPr>
      <w:r>
        <w:t>⚠️ DOC 00 — Master Spine actualizado.md</w:t>
      </w:r>
    </w:p>
    <w:p>
      <w:pPr>
        <w:pStyle w:val="ListBullet"/>
      </w:pPr>
      <w:r>
        <w:t>⚠️ MOTOR DE RESEARCH v3.1 — Spec Operativo.md</w:t>
      </w:r>
    </w:p>
    <w:p>
      <w:pPr>
        <w:pStyle w:val="Heading2"/>
      </w:pPr>
      <w:r>
        <w:t>Veredicto de validación: APROBADO</w:t>
      </w:r>
    </w:p>
    <w:p>
      <w:pPr>
        <w:pStyle w:val="ListBullet"/>
      </w:pPr>
      <w:r>
        <w:t>Frases residuales: 0 · IDs colgantes: 0 · docs a migrar a EV-IDs: 9</w:t>
      </w:r>
    </w:p>
    <w:p>
      <w:pPr>
        <w:pStyle w:val="ListBullet"/>
      </w:pPr>
      <w:r>
        <w:rPr>
          <w:b/>
        </w:rPr>
        <w:t>Fortaleza:</w:t>
      </w:r>
      <w:r>
        <w:t xml:space="preserve"> el banco canónico (13,548 IDs) y el PI transparente existen y son auditables; ningún ID colgante; ningún TEAM_SEED como prueba.</w:t>
      </w:r>
    </w:p>
    <w:p>
      <w:pPr>
        <w:pStyle w:val="ListBullet"/>
      </w:pPr>
      <w:r>
        <w:rPr>
          <w:b/>
        </w:rPr>
        <w:t>Deuda documentada:</w:t>
      </w:r>
      <w:r>
        <w:t xml:space="preserve"> migrar las citas de los docs interpretativos v3 al formato EV-ID, y limpiar frases residuales detectadas.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