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Motor de Research DTC v4.0</w:t>
      </w:r>
    </w:p>
    <w:p>
      <w:r>
        <w:t xml:space="preserve">Máquina </w:t>
      </w:r>
      <w:r>
        <w:rPr>
          <w:b/>
        </w:rPr>
        <w:t>repetible, auditable y auto-correctiva</w:t>
      </w:r>
      <w:r>
        <w:t xml:space="preserve"> de research pre-lanzamiento (VoC) para productos DTC (ads Meta/TikTok, metodología Schwartz). Es </w:t>
      </w:r>
      <w:r>
        <w:rPr>
          <w:b/>
        </w:rPr>
        <w:t>product-agnostic</w:t>
      </w:r>
      <w:r>
        <w:t xml:space="preserve">: el mismo motor sirve para cualquier producto/mercado. Los casos concretos son </w:t>
      </w:r>
      <w:r>
        <w:rPr>
          <w:b/>
        </w:rPr>
        <w:t>ejecuciones de referencia</w:t>
      </w:r>
      <w:r>
        <w:t>, no parte del motor.</w:t>
      </w:r>
    </w:p>
    <w:p>
      <w:pPr>
        <w:pStyle w:val="Heading2"/>
      </w:pPr>
      <w:r>
        <w:t>Estructura</w:t>
      </w:r>
    </w:p>
    <w:p>
      <w:r>
        <w:rPr>
          <w:rFonts w:ascii="Consolas" w:hAnsi="Consolas"/>
          <w:color w:val="C03030"/>
        </w:rPr>
        <w:t>`</w:t>
      </w:r>
    </w:p>
    <w:p>
      <w:r>
        <w:t>motor-research-dtc/</w:t>
      </w:r>
    </w:p>
    <w:p>
      <w:r>
        <w:t>├── MOTOR DE RESEARCH v4.0 — Spec Operativo.md   ← autoridad vigente del motor</w:t>
      </w:r>
    </w:p>
    <w:p>
      <w:r>
        <w:t>├── motor/            ← el método reusable (spec v3.1 + adenda v3.3 + "cómo ejecutar" + spec v3)</w:t>
      </w:r>
    </w:p>
    <w:p>
      <w:r>
        <w:t>├── scripts/          ← scripts ejecutables (ingesta, PI, validadores, md2docx)</w:t>
      </w:r>
    </w:p>
    <w:p>
      <w:r>
        <w:t>├── material-fuente/  ← prompts fuente EAM/Evolve que el motor fusionó</w:t>
      </w:r>
    </w:p>
    <w:p>
      <w:r>
        <w:t>├── casos/</w:t>
      </w:r>
    </w:p>
    <w:p>
      <w:r>
        <w:t>│   └── higado-mx/    ← 1er producto corrido (EJEMPLO de ejecución, NO el motor)</w:t>
      </w:r>
    </w:p>
    <w:p>
      <w:r>
        <w:t>└── RESEARCH DE PRODUCTOS EN TRENDTRACK/  ← product-hunting (research aparte)</w:t>
      </w:r>
    </w:p>
    <w:p>
      <w:r>
        <w:rPr>
          <w:rFonts w:ascii="Consolas" w:hAnsi="Consolas"/>
          <w:color w:val="C03030"/>
        </w:rPr>
        <w:t>`</w:t>
      </w:r>
    </w:p>
    <w:p>
      <w:pPr>
        <w:pStyle w:val="Heading2"/>
      </w:pPr>
      <w:r>
        <w:t>Empieza aquí</w:t>
      </w:r>
    </w:p>
    <w:p>
      <w:pPr>
        <w:pStyle w:val="ListBullet"/>
      </w:pPr>
      <w:r>
        <w:rPr>
          <w:b/>
        </w:rPr>
        <w:t>[MOTOR DE RESEARCH v4.0 — Spec Operativo](MOTOR%20DE%20RESEARCH%20v4.0%20—%20Spec%20Operativo.md)</w:t>
      </w:r>
      <w:r>
        <w:t xml:space="preserve"> — la </w:t>
      </w:r>
      <w:r>
        <w:rPr>
          <w:b/>
        </w:rPr>
        <w:t>autoridad vigente</w:t>
      </w:r>
      <w:r>
        <w:t>: mapa de docs (00, 14-21, B0/B1, 10), decisiones de diseño, pipeline F0-F6.</w:t>
      </w:r>
    </w:p>
    <w:p>
      <w:pPr>
        <w:pStyle w:val="ListBullet"/>
      </w:pPr>
      <w:r>
        <w:rPr>
          <w:b/>
        </w:rPr>
        <w:t>Skill ejecutable `/voc-research`</w:t>
      </w:r>
      <w:r>
        <w:t xml:space="preserve"> — el motor v4.0 corrible en cualquier sesión de Claude Code (a nivel usuario en </w:t>
      </w:r>
      <w:r>
        <w:rPr>
          <w:rFonts w:ascii="Consolas" w:hAnsi="Consolas"/>
          <w:color w:val="C03030"/>
        </w:rPr>
        <w:t>~/.claude/skills/voc-research/</w:t>
      </w:r>
      <w:r>
        <w:t xml:space="preserve">, </w:t>
      </w:r>
      <w:r>
        <w:rPr>
          <w:b/>
        </w:rPr>
        <w:t>fuera de este repo</w:t>
      </w:r>
      <w:r>
        <w:t>).</w:t>
      </w:r>
    </w:p>
    <w:p>
      <w:pPr>
        <w:pStyle w:val="ListBullet"/>
      </w:pPr>
      <w:r>
        <w:rPr>
          <w:b/>
        </w:rPr>
        <w:t>[HANDOFF.md](HANDOFF.md)</w:t>
      </w:r>
      <w:r>
        <w:t xml:space="preserve"> — traspaso · </w:t>
      </w:r>
      <w:r>
        <w:rPr>
          <w:b/>
        </w:rPr>
        <w:t>[motor/](motor/)</w:t>
      </w:r>
      <w:r>
        <w:t xml:space="preserve"> el método · </w:t>
      </w:r>
      <w:r>
        <w:rPr>
          <w:b/>
        </w:rPr>
        <w:t>[casos/higado-mx/](casos/higado-mx/)</w:t>
      </w:r>
      <w:r>
        <w:t xml:space="preserve"> el caso de referencia.</w:t>
      </w:r>
    </w:p>
    <w:p>
      <w:pPr>
        <w:pStyle w:val="Heading2"/>
      </w:pPr>
      <w:r>
        <w:t>Qué es v4.0</w:t>
      </w:r>
    </w:p>
    <w:p>
      <w:r>
        <w:t xml:space="preserve">Fusión del </w:t>
      </w:r>
      <w:r>
        <w:rPr>
          <w:b/>
        </w:rPr>
        <w:t>motor v3.3</w:t>
      </w:r>
      <w:r>
        <w:t xml:space="preserve"> (doble vía + UMP/UMS/USP + conciencia×sofisticación + gates anti-alucinación) con el sistema </w:t>
      </w:r>
      <w:r>
        <w:rPr>
          <w:b/>
        </w:rPr>
        <w:t>Master Skill Research</w:t>
      </w:r>
      <w:r>
        <w:t xml:space="preserve"> (adquisición autónoma con gates de presupuesto, cobertura 100% sin muestreo, anti-fabricación mecánica, membresía de mercado, micro-señales, avatares Evolve herméticos con QC, canal 0 de dato propio). La </w:t>
      </w:r>
      <w:r>
        <w:rPr>
          <w:b/>
        </w:rPr>
        <w:t>oferta/pricing salió del research</w:t>
      </w:r>
      <w:r>
        <w:t xml:space="preserve"> (vive en SOP-MKT-04).</w:t>
      </w:r>
    </w:p>
    <w:p>
      <w:pPr>
        <w:pStyle w:val="Heading2"/>
      </w:pPr>
      <w:r>
        <w:t>La regla núcleo (se conserva de v3.3)</w:t>
      </w:r>
    </w:p>
    <w:p>
      <w:r>
        <w:t xml:space="preserve">Todo research combina </w:t>
      </w:r>
      <w:r>
        <w:rPr>
          <w:b/>
        </w:rPr>
        <w:t>Vía A (deep research web, con fuentes)</w:t>
      </w:r>
      <w:r>
        <w:t xml:space="preserve"> + </w:t>
      </w:r>
      <w:r>
        <w:rPr>
          <w:b/>
        </w:rPr>
        <w:t>Vía B (corpus VoC completo, con IDs)</w:t>
      </w:r>
      <w:r>
        <w:t xml:space="preserve"> y cierra el loop con un </w:t>
      </w:r>
      <w:r>
        <w:rPr>
          <w:b/>
        </w:rPr>
        <w:t>documento de contraste</w:t>
      </w:r>
      <w:r>
        <w:t xml:space="preserve"> (Hipótesis vs Realidad VoC vs Veredicto). Donde el corpus contradice al research, </w:t>
      </w:r>
      <w:r>
        <w:rPr>
          <w:b/>
        </w:rPr>
        <w:t>manda el corpus</w:t>
      </w:r>
      <w:r>
        <w:t>. El Master Spine (doc 00) se reconcilia al final.</w:t>
      </w:r>
    </w:p>
    <w:p>
      <w:pPr>
        <w:pStyle w:val="Heading2"/>
      </w:pPr>
      <w:r>
        <w:t>Salida → Creativos</w:t>
      </w:r>
    </w:p>
    <w:p>
      <w:r>
        <w:t xml:space="preserve">El research entrega el </w:t>
      </w:r>
      <w:r>
        <w:rPr>
          <w:b/>
        </w:rPr>
        <w:t>Master Spine (doc 00)</w:t>
      </w:r>
      <w:r>
        <w:t xml:space="preserve">. La skill </w:t>
      </w:r>
      <w:r>
        <w:rPr>
          <w:b/>
        </w:rPr>
        <w:t>`/master-spine`</w:t>
      </w:r>
      <w:r>
        <w:t xml:space="preserve"> lo consolida y emite un </w:t>
      </w:r>
      <w:r>
        <w:rPr>
          <w:b/>
        </w:rPr>
        <w:t>`spine.json`</w:t>
      </w:r>
      <w:r>
        <w:t xml:space="preserve"> que consume el </w:t>
      </w:r>
      <w:r>
        <w:rPr>
          <w:b/>
        </w:rPr>
        <w:t>Motor de Creativos</w:t>
      </w:r>
      <w:r>
        <w:t xml:space="preserve"> (repo </w:t>
      </w:r>
      <w:r>
        <w:rPr>
          <w:rFonts w:ascii="Consolas" w:hAnsi="Consolas"/>
          <w:color w:val="C03030"/>
        </w:rPr>
        <w:t>motor-creativos-dtc</w:t>
      </w:r>
      <w:r>
        <w:t xml:space="preserve">, etapa 2). Pipeline completo: </w:t>
      </w:r>
      <w:r>
        <w:rPr>
          <w:b/>
        </w:rPr>
        <w:t>Research (v4.0) → Creativos → Media Buying → Feedback</w:t>
      </w:r>
      <w:r>
        <w:t>.</w:t>
      </w:r>
    </w:p>
    <w:p>
      <w:pPr>
        <w:pStyle w:val="Heading2"/>
      </w:pPr>
      <w:r>
        <w:t>El método (motor/)</w:t>
      </w:r>
    </w:p>
    <w:p>
      <w:r>
        <w:t xml:space="preserve">El motor generalizado y repetible vive en </w:t>
      </w:r>
      <w:r>
        <w:rPr>
          <w:rFonts w:ascii="Consolas" w:hAnsi="Consolas"/>
          <w:color w:val="C03030"/>
        </w:rPr>
        <w:t>motor/</w:t>
      </w:r>
      <w:r>
        <w:t xml:space="preserve">: </w:t>
      </w:r>
      <w:r>
        <w:rPr>
          <w:rFonts w:ascii="Consolas" w:hAnsi="Consolas"/>
          <w:color w:val="C03030"/>
        </w:rPr>
        <w:t>MOTOR DE RESEARCH v3.1 — Spec Operativo</w:t>
      </w:r>
      <w:r>
        <w:t xml:space="preserve"> + </w:t>
      </w:r>
      <w:r>
        <w:rPr>
          <w:rFonts w:ascii="Consolas" w:hAnsi="Consolas"/>
          <w:color w:val="C03030"/>
        </w:rPr>
        <w:t>v3.3 — Adenda Doble Vía</w:t>
      </w:r>
      <w:r>
        <w:t xml:space="preserve"> + </w:t>
      </w:r>
      <w:r>
        <w:rPr>
          <w:rFonts w:ascii="Consolas" w:hAnsi="Consolas"/>
          <w:color w:val="C03030"/>
        </w:rPr>
        <w:t>README — Cómo ejecutar este motor en otro producto</w:t>
      </w:r>
      <w:r>
        <w:t xml:space="preserve"> (+ el spec v3 original). El spec </w:t>
      </w:r>
      <w:r>
        <w:rPr>
          <w:b/>
        </w:rPr>
        <w:t>v4.0</w:t>
      </w:r>
      <w:r>
        <w:t xml:space="preserve"> (raíz) los extiende; la </w:t>
      </w:r>
      <w:r>
        <w:rPr>
          <w:b/>
        </w:rPr>
        <w:t>ejecución</w:t>
      </w:r>
      <w:r>
        <w:t xml:space="preserve"> vive en la skill </w:t>
      </w:r>
      <w:r>
        <w:rPr>
          <w:rFonts w:ascii="Consolas" w:hAnsi="Consolas"/>
          <w:color w:val="C03030"/>
        </w:rPr>
        <w:t>/voc-research</w:t>
      </w:r>
      <w:r>
        <w:t>.</w:t>
      </w:r>
    </w:p>
    <w:p>
      <w:pPr>
        <w:pStyle w:val="Heading2"/>
      </w:pPr>
      <w:r>
        <w:t>Caso de referencia (casos/higado-mx/ — NO es el motor)</w:t>
      </w:r>
    </w:p>
    <w:p>
      <w:r>
        <w:t xml:space="preserve">El </w:t>
      </w:r>
      <w:r>
        <w:rPr>
          <w:b/>
        </w:rPr>
        <w:t>suplemento hepático MX</w:t>
      </w:r>
      <w:r>
        <w:t xml:space="preserve"> fue el primer producto corrido con el motor (research v3.2 post-contraste): Master Spine v3.2, hooks v3.2, los 5 docs de contraste (Deep Research × VoC), briefs, corpus de 13,548 confesiones con IDs, y el </w:t>
      </w:r>
      <w:r>
        <w:rPr>
          <w:rFonts w:ascii="Consolas" w:hAnsi="Consolas"/>
          <w:color w:val="C03030"/>
        </w:rPr>
        <w:t>CONSOLIDADO</w:t>
      </w:r>
      <w:r>
        <w:t xml:space="preserve">. Todo vive en </w:t>
      </w:r>
      <w:r>
        <w:rPr>
          <w:rFonts w:ascii="Consolas" w:hAnsi="Consolas"/>
          <w:color w:val="C03030"/>
        </w:rPr>
        <w:t>casos/higado-mx/</w:t>
      </w:r>
      <w:r>
        <w:t xml:space="preserve"> (con </w:t>
      </w:r>
      <w:r>
        <w:rPr>
          <w:rFonts w:ascii="Consolas" w:hAnsi="Consolas"/>
          <w:color w:val="C03030"/>
        </w:rPr>
        <w:t>v3-superado/</w:t>
      </w:r>
      <w:r>
        <w:t xml:space="preserve"> = los docs v3 previos al contraste). Es un </w:t>
      </w:r>
      <w:r>
        <w:rPr>
          <w:b/>
        </w:rPr>
        <w:t>ejemplo de ejecución</w:t>
      </w:r>
      <w:r>
        <w:t xml:space="preserve">, no parte del motor generalizado — cualquier producto nuevo arranca con </w:t>
      </w:r>
      <w:r>
        <w:rPr>
          <w:rFonts w:ascii="Consolas" w:hAnsi="Consolas"/>
          <w:color w:val="C03030"/>
        </w:rPr>
        <w:t>/voc-research</w:t>
      </w:r>
      <w:r>
        <w:t>, no con el hígado.</w:t>
      </w:r>
    </w:p>
    <w:p>
      <w:pPr>
        <w:pStyle w:val="Heading2"/>
      </w:pPr>
      <w:r>
        <w:t>Seguridad</w:t>
      </w:r>
    </w:p>
    <w:p>
      <w:r>
        <w:t xml:space="preserve">Los tokens de API (Apify, TrendTrack, Foreplay, GetHookd, GitHub) viven </w:t>
      </w:r>
      <w:r>
        <w:rPr>
          <w:b/>
        </w:rPr>
        <w:t>fuera del repo</w:t>
      </w:r>
      <w:r>
        <w:t xml:space="preserve"> en </w:t>
      </w:r>
      <w:r>
        <w:rPr>
          <w:rFonts w:ascii="Consolas" w:hAnsi="Consolas"/>
          <w:color w:val="C03030"/>
        </w:rPr>
        <w:t>C:\Users\Thomas\research_secrets.env</w:t>
      </w:r>
      <w:r>
        <w:t xml:space="preserve">. Nunca se commitean (ver </w:t>
      </w:r>
      <w:r>
        <w:rPr>
          <w:rFonts w:ascii="Consolas" w:hAnsi="Consolas"/>
          <w:color w:val="C03030"/>
        </w:rPr>
        <w:t>.gitignore</w:t>
      </w:r>
      <w:r>
        <w:t>).</w:t>
      </w:r>
    </w:p>
    <w:p>
      <w:pPr>
        <w:pStyle w:val="Heading2"/>
      </w:pPr>
      <w:r>
        <w:t>Estado</w:t>
      </w:r>
    </w:p>
    <w:p>
      <w:r>
        <w:t xml:space="preserve">Motor </w:t>
      </w:r>
      <w:r>
        <w:rPr>
          <w:b/>
        </w:rPr>
        <w:t>v4.0</w:t>
      </w:r>
      <w:r>
        <w:t xml:space="preserve"> (ejecutable: skill </w:t>
      </w:r>
      <w:r>
        <w:rPr>
          <w:rFonts w:ascii="Consolas" w:hAnsi="Consolas"/>
          <w:color w:val="C03030"/>
        </w:rPr>
        <w:t>/voc-research</w:t>
      </w:r>
      <w:r>
        <w:t xml:space="preserve">) · método/linaje en </w:t>
      </w:r>
      <w:r>
        <w:rPr>
          <w:rFonts w:ascii="Consolas" w:hAnsi="Consolas"/>
          <w:color w:val="C03030"/>
        </w:rPr>
        <w:t>motor/</w:t>
      </w:r>
      <w:r>
        <w:t xml:space="preserve"> · caso hígado v3.2 (histórico, en </w:t>
      </w:r>
      <w:r>
        <w:rPr>
          <w:rFonts w:ascii="Consolas" w:hAnsi="Consolas"/>
          <w:color w:val="C03030"/>
        </w:rPr>
        <w:t>casos/higado-mx/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