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MOTOR DE RESEARCH v3.3 — Adenda: Doble Vía Obligatoria</w:t>
      </w:r>
    </w:p>
    <w:p>
      <w:pPr>
        <w:ind w:left="432"/>
      </w:pPr>
      <w:r>
        <w:rPr>
          <w:i/>
        </w:rPr>
        <w:t xml:space="preserve">Extiende el </w:t>
      </w:r>
      <w:r>
        <w:rPr>
          <w:rFonts w:ascii="Consolas" w:hAnsi="Consolas"/>
          <w:i/>
          <w:color w:val="C03030"/>
        </w:rPr>
        <w:t>MOTOR DE RESEARCH v3.1 — Spec Operativo</w:t>
      </w:r>
      <w:r>
        <w:rPr>
          <w:i/>
        </w:rPr>
        <w:t xml:space="preserve">. </w:t>
      </w:r>
      <w:r>
        <w:rPr>
          <w:b/>
          <w:i/>
        </w:rPr>
        <w:t>Cambio de v3.1 → v3.3:</w:t>
      </w:r>
      <w:r>
        <w:rPr>
          <w:i/>
        </w:rPr>
        <w:t xml:space="preserve"> la investigación por </w:t>
      </w:r>
      <w:r>
        <w:rPr>
          <w:b/>
          <w:i/>
        </w:rPr>
        <w:t>doble vía + contraste</w:t>
      </w:r>
      <w:r>
        <w:rPr>
          <w:i/>
        </w:rPr>
        <w:t xml:space="preserve"> deja de ser opcional y pasa a ser </w:t>
      </w:r>
      <w:r>
        <w:rPr>
          <w:b/>
          <w:i/>
        </w:rPr>
        <w:t>FASE NÚCLEO OBLIGATORIA</w:t>
      </w:r>
      <w:r>
        <w:rPr>
          <w:i/>
        </w:rPr>
        <w:t xml:space="preserve"> del motor, para todo elemento y todo producto.</w:t>
      </w:r>
    </w:p>
    <w:p>
      <w:pPr>
        <w:pStyle w:val="Heading2"/>
      </w:pPr>
      <w:r>
        <w:t>1. Por qué existe v3.3</w:t>
      </w:r>
    </w:p>
    <w:p>
      <w:r>
        <w:t xml:space="preserve">El v3.1 (auditable, con jerarquía de fuentes y PI transparente) resolvió la </w:t>
      </w:r>
      <w:r>
        <w:rPr>
          <w:b/>
        </w:rPr>
        <w:t>calidad y trazabilidad de la data</w:t>
      </w:r>
      <w:r>
        <w:t xml:space="preserve">, pero los documentos interpretativos se generaban en </w:t>
      </w:r>
      <w:r>
        <w:rPr>
          <w:b/>
        </w:rPr>
        <w:t>una sola pasada sobre una muestra comprimida del scraping</w:t>
      </w:r>
      <w:r>
        <w:t xml:space="preserve"> → salían delgados y, peor, construidos sobre </w:t>
      </w:r>
      <w:r>
        <w:rPr>
          <w:b/>
        </w:rPr>
        <w:t>hipótesis del equipo</w:t>
      </w:r>
      <w:r>
        <w:t xml:space="preserve"> en vez de sobre voz real contrastada. En el caso de referencia (hígado MX) esto hizo que la estrategia v3 se montara sobre un gancho (hinchazón estética) presente en solo </w:t>
      </w:r>
      <w:r>
        <w:rPr>
          <w:b/>
        </w:rPr>
        <w:t>~4 citas de 13,548</w:t>
      </w:r>
      <w:r>
        <w:t>.</w:t>
      </w:r>
    </w:p>
    <w:p>
      <w:r>
        <w:rPr>
          <w:b/>
        </w:rPr>
        <w:t>v3.3 lo corrige haciendo obligatorio cerrar el feedback loop:</w:t>
      </w:r>
      <w:r>
        <w:t xml:space="preserve"> cada elemento se investiga por dos vías independientes y se contrasta.</w:t>
      </w:r>
    </w:p>
    <w:p>
      <w:pPr>
        <w:pStyle w:val="Heading2"/>
      </w:pPr>
      <w:r>
        <w:t>2. La regla (soberana)</w:t>
      </w:r>
    </w:p>
    <w:p>
      <w:r>
        <w:t>Para CADA elemento del research (avatar, deseos, buyer psychology, mecanismo UMP/UMS, competidores, hooks):</w:t>
      </w:r>
    </w:p>
    <w:p>
      <w:pPr>
        <w:pStyle w:val="ListBullet"/>
      </w:pPr>
      <w:r>
        <w:rPr>
          <w:b/>
        </w:rPr>
        <w:t>Vía A — DEEP RESEARCH:</w:t>
      </w:r>
      <w:r>
        <w:t xml:space="preserve"> investigación externa (web/desk), verificada, con </w:t>
      </w:r>
      <w:r>
        <w:rPr>
          <w:b/>
        </w:rPr>
        <w:t>fuentes/URLs</w:t>
      </w:r>
      <w:r>
        <w:t xml:space="preserve">. Produce HIPÓTESIS fundamentadas. Tipo de fuente: </w:t>
      </w:r>
      <w:r>
        <w:rPr>
          <w:rFonts w:ascii="Consolas" w:hAnsi="Consolas"/>
          <w:color w:val="C03030"/>
        </w:rPr>
        <w:t>INFERENCE</w:t>
      </w:r>
      <w:r>
        <w:t>/</w:t>
      </w:r>
      <w:r>
        <w:rPr>
          <w:rFonts w:ascii="Consolas" w:hAnsi="Consolas"/>
          <w:color w:val="C03030"/>
        </w:rPr>
        <w:t>INTEL_FOREIGN</w:t>
      </w:r>
      <w:r>
        <w:t xml:space="preserve"> — </w:t>
      </w:r>
      <w:r>
        <w:rPr>
          <w:b/>
        </w:rPr>
        <w:t>nunca cuenta como prueba de mercado por sí sola.</w:t>
      </w:r>
    </w:p>
    <w:p>
      <w:pPr>
        <w:pStyle w:val="ListBullet"/>
      </w:pPr>
      <w:r>
        <w:rPr>
          <w:b/>
        </w:rPr>
        <w:t>Vía B — SCRAPING VoC:</w:t>
      </w:r>
      <w:r>
        <w:t xml:space="preserve"> minería del </w:t>
      </w:r>
      <w:r>
        <w:rPr>
          <w:b/>
        </w:rPr>
        <w:t>corpus completo</w:t>
      </w:r>
      <w:r>
        <w:t xml:space="preserve"> (no una muestra), extrayendo un banco por elemento con citas reales e </w:t>
      </w:r>
      <w:r>
        <w:rPr>
          <w:b/>
        </w:rPr>
        <w:t>IDs `EVxxxx`</w:t>
      </w:r>
      <w:r>
        <w:t xml:space="preserve">. Tipo de fuente: </w:t>
      </w:r>
      <w:r>
        <w:rPr>
          <w:rFonts w:ascii="Consolas" w:hAnsi="Consolas"/>
          <w:color w:val="C03030"/>
        </w:rPr>
        <w:t>RAW_CONFESSION</w:t>
      </w:r>
      <w:r>
        <w:t>/</w:t>
      </w:r>
      <w:r>
        <w:rPr>
          <w:rFonts w:ascii="Consolas" w:hAnsi="Consolas"/>
          <w:color w:val="C03030"/>
        </w:rPr>
        <w:t>REVIEW</w:t>
      </w:r>
      <w:r>
        <w:t>.</w:t>
      </w:r>
    </w:p>
    <w:p>
      <w:pPr>
        <w:pStyle w:val="ListBullet"/>
      </w:pPr>
      <w:r>
        <w:rPr>
          <w:b/>
        </w:rPr>
        <w:t>CONTRASTE:</w:t>
      </w:r>
      <w:r>
        <w:t xml:space="preserve"> documento final por elemento, tabla de 3 columnas → </w:t>
      </w:r>
      <w:r>
        <w:rPr>
          <w:b/>
        </w:rPr>
        <w:t>Hipótesis (A + URL) | Realidad VoC (B + ID) | Veredicto (CONFIRMA / REFUTA / MATIZA / AÑADE)</w:t>
      </w:r>
      <w:r>
        <w:t xml:space="preserve"> + sección de hallazgos donde la VoC refuta/matiza a A + huecos sin evidencia.</w:t>
      </w:r>
    </w:p>
    <w:p>
      <w:pPr>
        <w:pStyle w:val="ListBullet"/>
      </w:pPr>
      <w:r>
        <w:rPr>
          <w:b/>
        </w:rPr>
        <w:t>Regla de arbitraje:</w:t>
      </w:r>
      <w:r>
        <w:t xml:space="preserve"> donde </w:t>
      </w:r>
      <w:r>
        <w:rPr>
          <w:b/>
        </w:rPr>
        <w:t>B contradice a A, manda B.</w:t>
      </w:r>
      <w:r>
        <w:t xml:space="preserve"> Donde A afirma sin fuente clínica/directa → se marca </w:t>
      </w:r>
      <w:r>
        <w:rPr>
          <w:b/>
        </w:rPr>
        <w:t>[HIPÓTESIS PERSUASIVA]</w:t>
      </w:r>
      <w:r>
        <w:t>, no hecho.</w:t>
      </w:r>
    </w:p>
    <w:p>
      <w:pPr>
        <w:pStyle w:val="ListBullet"/>
      </w:pPr>
      <w:r>
        <w:rPr>
          <w:b/>
        </w:rPr>
        <w:t>Spine al final:</w:t>
      </w:r>
      <w:r>
        <w:t xml:space="preserve"> el Master Spine se </w:t>
      </w:r>
      <w:r>
        <w:rPr>
          <w:b/>
        </w:rPr>
        <w:t>reconcilia con todos los contrastes</w:t>
      </w:r>
      <w:r>
        <w:t xml:space="preserve"> (changelog honesto de qué cambió), nunca antes.</w:t>
      </w:r>
    </w:p>
    <w:p>
      <w:pPr>
        <w:pStyle w:val="Heading2"/>
      </w:pPr>
      <w:r>
        <w:t>3. Pipeline v3.3 (dónde encaja)</w:t>
      </w:r>
    </w:p>
    <w:p>
      <w:r>
        <w:rPr>
          <w:rFonts w:ascii="Consolas" w:hAnsi="Consolas"/>
          <w:color w:val="C03030"/>
        </w:rPr>
        <w:t>`</w:t>
      </w:r>
    </w:p>
    <w:p>
      <w:r>
        <w:t>Fase 0-2  (v3.1)  Intake → scraping por pools → ingesta → PI transparente → DATA QUALITY</w:t>
      </w:r>
    </w:p>
    <w:p>
      <w:r>
        <w:t>Fase 3    (v3.1)  Banco canónico DOC 14 (evidence_bank.csv con IDs)</w:t>
      </w:r>
    </w:p>
    <w:p>
      <w:r>
        <w:t>Fase 4    NUEVA·OBLIGATORIA — extraer bancos VoC por elemento (voc_banks/)</w:t>
      </w:r>
    </w:p>
    <w:p>
      <w:r>
        <w:t>Fase 5    NUEVA·OBLIGATORIA — por cada elemento: Vía A (deep research web) ‖ Vía B (VoC corpus)</w:t>
      </w:r>
    </w:p>
    <w:p>
      <w:r>
        <w:t>Fase 6    NUEVA·OBLIGATORIA — Contraste por elemento (docs "b": 15b/18b/19b/20b/COMPETITOR_MAP b)</w:t>
      </w:r>
    </w:p>
    <w:p>
      <w:r>
        <w:t>Fase 7    (v3.1) RECONCILIATION + Spine reconciliado al final</w:t>
      </w:r>
    </w:p>
    <w:p>
      <w:r>
        <w:t>Fase 8    (v3.1) Validadores (VALIDATION REPORT)</w:t>
      </w:r>
    </w:p>
    <w:p>
      <w:r>
        <w:t>Fase 9    Producción (hooks/advertoriales) alineada al Spine reconciliado</w:t>
      </w:r>
    </w:p>
    <w:p>
      <w:r>
        <w:rPr>
          <w:rFonts w:ascii="Consolas" w:hAnsi="Consolas"/>
          <w:color w:val="C03030"/>
        </w:rPr>
        <w:t>`</w:t>
      </w:r>
    </w:p>
    <w:p>
      <w:pPr>
        <w:pStyle w:val="Heading2"/>
      </w:pPr>
      <w:r>
        <w:t>4. Artefactos que produce (por elemento)</w:t>
      </w:r>
    </w:p>
    <w:p>
      <w:pPr>
        <w:pStyle w:val="ListBullet"/>
      </w:pPr>
      <w:r>
        <w:rPr>
          <w:rFonts w:ascii="Consolas" w:hAnsi="Consolas"/>
          <w:color w:val="C03030"/>
        </w:rPr>
        <w:t>voc_banks/&lt;elemento&gt;.md</w:t>
      </w:r>
      <w:r>
        <w:t xml:space="preserve"> — banco de citas reales con ID del corpus completo.</w:t>
      </w:r>
    </w:p>
    <w:p>
      <w:pPr>
        <w:pStyle w:val="ListBullet"/>
      </w:pPr>
      <w:r>
        <w:rPr>
          <w:rFonts w:ascii="Consolas" w:hAnsi="Consolas"/>
          <w:color w:val="C03030"/>
        </w:rPr>
        <w:t>research/A1-&lt;elemento&gt;.md</w:t>
      </w:r>
      <w:r>
        <w:t xml:space="preserve">, </w:t>
      </w:r>
      <w:r>
        <w:rPr>
          <w:rFonts w:ascii="Consolas" w:hAnsi="Consolas"/>
          <w:color w:val="C03030"/>
        </w:rPr>
        <w:t>research/A2-&lt;elemento&gt;.md</w:t>
      </w:r>
      <w:r>
        <w:t xml:space="preserve"> — deep research con fuentes.</w:t>
      </w:r>
    </w:p>
    <w:p>
      <w:pPr>
        <w:pStyle w:val="ListBullet"/>
      </w:pPr>
      <w:r>
        <w:rPr>
          <w:rFonts w:ascii="Consolas" w:hAnsi="Consolas"/>
          <w:color w:val="C03030"/>
        </w:rPr>
        <w:t>research/B-&lt;elemento&gt;.md</w:t>
      </w:r>
      <w:r>
        <w:t xml:space="preserve"> — perfil VoC anclado en IDs.</w:t>
      </w:r>
    </w:p>
    <w:p>
      <w:pPr>
        <w:pStyle w:val="ListBullet"/>
      </w:pPr>
      <w:r>
        <w:rPr>
          <w:rFonts w:ascii="Consolas" w:hAnsi="Consolas"/>
          <w:color w:val="C03030"/>
        </w:rPr>
        <w:t>&lt;DOC&gt; b — Deep Research × VoC Contrastado.md</w:t>
      </w:r>
      <w:r>
        <w:t xml:space="preserve"> — el documento de contraste (entregable).</w:t>
      </w:r>
    </w:p>
    <w:p>
      <w:pPr>
        <w:pStyle w:val="Heading2"/>
      </w:pPr>
      <w:r>
        <w:t>5. Criterio de "hecho bien" (QA del contraste)</w:t>
      </w:r>
    </w:p>
    <w:p>
      <w:r>
        <w:t xml:space="preserve">Un doc de contraste está bien solo si: es </w:t>
      </w:r>
      <w:r>
        <w:rPr>
          <w:b/>
        </w:rPr>
        <w:t>completo</w:t>
      </w:r>
      <w:r>
        <w:t xml:space="preserve"> (tablas escritas, no un resumen), cita </w:t>
      </w:r>
      <w:r>
        <w:rPr>
          <w:b/>
        </w:rPr>
        <w:t>≥8 IDs `EVxxxx` reales</w:t>
      </w:r>
      <w:r>
        <w:t xml:space="preserve"> y </w:t>
      </w:r>
      <w:r>
        <w:rPr>
          <w:b/>
        </w:rPr>
        <w:t>≥8 veredictos</w:t>
      </w:r>
      <w:r>
        <w:t xml:space="preserve">, marca explícitamente qué es HECHO vs HIPÓTESIS, y donde B contradijo A </w:t>
      </w:r>
      <w:r>
        <w:rPr>
          <w:b/>
        </w:rPr>
        <w:t>mandó B</w:t>
      </w:r>
      <w:r>
        <w:t xml:space="preserve">. Arranca directo con </w:t>
      </w:r>
      <w:r>
        <w:rPr>
          <w:rFonts w:ascii="Consolas" w:hAnsi="Consolas"/>
          <w:color w:val="C03030"/>
        </w:rPr>
        <w:t>#</w:t>
      </w:r>
      <w:r>
        <w:t>, sin texto de proceso del LLM (lo caza el validador).</w:t>
      </w:r>
    </w:p>
    <w:p>
      <w:pPr>
        <w:pStyle w:val="Heading2"/>
      </w:pPr>
      <w:r>
        <w:t>6. Caso de referencia ejecutado</w:t>
      </w:r>
    </w:p>
    <w:p>
      <w:r>
        <w:t>Proyecto hígado MX: 5 docs de contraste (</w:t>
      </w:r>
      <w:r>
        <w:rPr>
          <w:rFonts w:ascii="Consolas" w:hAnsi="Consolas"/>
          <w:color w:val="C03030"/>
        </w:rPr>
        <w:t>DOC 15b/18b/19b/20b/COMPETITOR_MAP b</w:t>
      </w:r>
      <w:r>
        <w:t xml:space="preserve">), </w:t>
      </w:r>
      <w:r>
        <w:rPr>
          <w:rFonts w:ascii="Consolas" w:hAnsi="Consolas"/>
          <w:color w:val="C03030"/>
        </w:rPr>
        <w:t>DOC 00 — Master Spine v3.2 (post-contraste)</w:t>
      </w:r>
      <w:r>
        <w:t xml:space="preserve"> con changelog de 14 cambios, y </w:t>
      </w:r>
      <w:r>
        <w:rPr>
          <w:rFonts w:ascii="Consolas" w:hAnsi="Consolas"/>
          <w:color w:val="C03030"/>
        </w:rPr>
        <w:t>DOC 21b</w:t>
      </w:r>
      <w:r>
        <w:t xml:space="preserve"> (hooks alineados). El contraste </w:t>
      </w:r>
      <w:r>
        <w:rPr>
          <w:b/>
        </w:rPr>
        <w:t>invirtió el núcleo del avatar</w:t>
      </w:r>
      <w:r>
        <w:t xml:space="preserve"> (madre creyente aterrada por el diagnóstico, no la hinchada estética) — prueba de que la fase es load-bearing, no cosmética.</w:t>
      </w:r>
    </w:p>
    <w:p>
      <w:r>
        <w:t>*Adenda v3.3 · la doble vía + contraste es ahora fase obligatoria del motor. Complementa el spec v3.1 y no lo reemplaza.*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