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data-classification-and-handling-policy"/>
    <w:p>
      <w:pPr>
        <w:pStyle w:val="Heading1"/>
      </w:pPr>
      <w:r>
        <w:t xml:space="preserve">Data Classification and Handling Policy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Effective Date:</w:t>
      </w:r>
      <w:r>
        <w:t xml:space="preserve"> </w:t>
      </w:r>
      <w:r>
        <w:t xml:space="preserve">December 2025</w:t>
      </w:r>
      <w:r>
        <w:br/>
      </w:r>
      <w:r>
        <w:rPr>
          <w:b/>
          <w:bCs/>
        </w:rPr>
        <w:t xml:space="preserve">Owner:</w:t>
      </w:r>
      <w:r>
        <w:t xml:space="preserve"> </w:t>
      </w:r>
      <w:r>
        <w:t xml:space="preserve">EcoMetricx InfoSec Team (Andrei Ionete - andrei@ecometricx.com)</w:t>
      </w:r>
      <w:r>
        <w:br/>
      </w:r>
      <w:r>
        <w:rPr>
          <w:b/>
          <w:bCs/>
        </w:rPr>
        <w:t xml:space="preserve">Review Cycle:</w:t>
      </w:r>
      <w:r>
        <w:t xml:space="preserve"> </w:t>
      </w:r>
      <w:r>
        <w:t xml:space="preserve">Annually or following major organizational or regulatory change</w:t>
      </w:r>
    </w:p>
    <w:bookmarkStart w:id="9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This policy establishes a framework for classifying and handling EcoMetricx information assets to ensure appropriate protection based on data sensitivity and regulatory requirements. This policy supports SOC 2 Trust Service Criteria for Confidentiality and aligns with the Data Solution Design Policy Section 8: Security and Access Control.</w:t>
      </w:r>
    </w:p>
    <w:bookmarkEnd w:id="9"/>
    <w:bookmarkStart w:id="10" w:name="scope"/>
    <w:p>
      <w:pPr>
        <w:pStyle w:val="Heading2"/>
      </w:pPr>
      <w:r>
        <w:t xml:space="preserve">2. Scope</w:t>
      </w:r>
    </w:p>
    <w:p>
      <w:pPr>
        <w:pStyle w:val="FirstParagraph"/>
      </w:pPr>
      <w:r>
        <w:t xml:space="preserve">This policy applies to:</w:t>
      </w:r>
      <w:r>
        <w:t xml:space="preserve"> </w:t>
      </w:r>
      <w:r>
        <w:t xml:space="preserve">- All employees, contractors, vendors, and third parties with access to EcoMetricx data</w:t>
      </w:r>
      <w:r>
        <w:t xml:space="preserve"> </w:t>
      </w:r>
      <w:r>
        <w:t xml:space="preserve">- All information systems, databases, applications, and cloud services</w:t>
      </w:r>
      <w:r>
        <w:t xml:space="preserve"> </w:t>
      </w:r>
      <w:r>
        <w:t xml:space="preserve">- All data in any format (electronic, paper, verbal)</w:t>
      </w:r>
      <w:r>
        <w:t xml:space="preserve"> </w:t>
      </w:r>
      <w:r>
        <w:t xml:space="preserve">- All data locations (on-premises, cloud, third-party systems)</w:t>
      </w:r>
    </w:p>
    <w:bookmarkEnd w:id="10"/>
    <w:bookmarkStart w:id="15" w:name="data-classification-levels"/>
    <w:p>
      <w:pPr>
        <w:pStyle w:val="Heading2"/>
      </w:pPr>
      <w:r>
        <w:t xml:space="preserve">3. Data Classification Levels</w:t>
      </w:r>
    </w:p>
    <w:bookmarkStart w:id="11" w:name="public"/>
    <w:p>
      <w:pPr>
        <w:pStyle w:val="Heading3"/>
      </w:pPr>
      <w:r>
        <w:t xml:space="preserve">3.1 Public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Information intended for public disclosure with no restrictions.</w:t>
      </w:r>
    </w:p>
    <w:p>
      <w:pPr>
        <w:pStyle w:val="BodyText"/>
      </w:pPr>
      <w:r>
        <w:rPr>
          <w:b/>
          <w:bCs/>
        </w:rPr>
        <w:t xml:space="preserve">Examples:</w:t>
      </w:r>
      <w:r>
        <w:t xml:space="preserve"> </w:t>
      </w:r>
      <w:r>
        <w:t xml:space="preserve">- Marketing materials</w:t>
      </w:r>
      <w:r>
        <w:t xml:space="preserve"> </w:t>
      </w:r>
      <w:r>
        <w:t xml:space="preserve">- Public product information</w:t>
      </w:r>
      <w:r>
        <w:t xml:space="preserve"> </w:t>
      </w:r>
      <w:r>
        <w:t xml:space="preserve">- Press releases</w:t>
      </w:r>
      <w:r>
        <w:t xml:space="preserve"> </w:t>
      </w:r>
      <w:r>
        <w:t xml:space="preserve">- Public website content</w:t>
      </w:r>
    </w:p>
    <w:p>
      <w:pPr>
        <w:pStyle w:val="BodyText"/>
      </w:pPr>
      <w:r>
        <w:rPr>
          <w:b/>
          <w:bCs/>
        </w:rPr>
        <w:t xml:space="preserve">Protection Requirements:</w:t>
      </w:r>
      <w:r>
        <w:t xml:space="preserve"> </w:t>
      </w:r>
      <w:r>
        <w:t xml:space="preserve">- None required</w:t>
      </w:r>
      <w:r>
        <w:t xml:space="preserve"> </w:t>
      </w:r>
      <w:r>
        <w:t xml:space="preserve">- Standard copyright protection</w:t>
      </w:r>
    </w:p>
    <w:p>
      <w:pPr>
        <w:pStyle w:val="BodyText"/>
      </w:pPr>
      <w:r>
        <w:rPr>
          <w:b/>
          <w:bCs/>
        </w:rPr>
        <w:t xml:space="preserve">Access:</w:t>
      </w:r>
      <w:r>
        <w:t xml:space="preserve"> </w:t>
      </w:r>
      <w:r>
        <w:t xml:space="preserve">- Unrestricted public access</w:t>
      </w:r>
      <w:r>
        <w:t xml:space="preserve"> </w:t>
      </w:r>
      <w:r>
        <w:t xml:space="preserve">- No authentication required</w:t>
      </w:r>
    </w:p>
    <w:p>
      <w:pPr>
        <w:pStyle w:val="BodyText"/>
      </w:pPr>
      <w:r>
        <w:rPr>
          <w:b/>
          <w:bCs/>
        </w:rPr>
        <w:t xml:space="preserve">Handling:</w:t>
      </w:r>
      <w:r>
        <w:t xml:space="preserve"> </w:t>
      </w:r>
      <w:r>
        <w:t xml:space="preserve">- No special handling requirements</w:t>
      </w:r>
      <w:r>
        <w:t xml:space="preserve"> </w:t>
      </w:r>
      <w:r>
        <w:t xml:space="preserve">- Standard document management</w:t>
      </w:r>
    </w:p>
    <w:bookmarkEnd w:id="11"/>
    <w:bookmarkStart w:id="12" w:name="internal"/>
    <w:p>
      <w:pPr>
        <w:pStyle w:val="Heading3"/>
      </w:pPr>
      <w:r>
        <w:t xml:space="preserve">3.2 Internal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Internal business information not approved for public release but not considered sensitive.</w:t>
      </w:r>
    </w:p>
    <w:p>
      <w:pPr>
        <w:pStyle w:val="BodyText"/>
      </w:pPr>
      <w:r>
        <w:rPr>
          <w:b/>
          <w:bCs/>
        </w:rPr>
        <w:t xml:space="preserve">Examples:</w:t>
      </w:r>
      <w:r>
        <w:t xml:space="preserve"> </w:t>
      </w:r>
      <w:r>
        <w:t xml:space="preserve">- Internal policies and procedures</w:t>
      </w:r>
      <w:r>
        <w:t xml:space="preserve"> </w:t>
      </w:r>
      <w:r>
        <w:t xml:space="preserve">- Organizational charts</w:t>
      </w:r>
      <w:r>
        <w:t xml:space="preserve"> </w:t>
      </w:r>
      <w:r>
        <w:t xml:space="preserve">- Project plans (non-sensitive)</w:t>
      </w:r>
      <w:r>
        <w:t xml:space="preserve"> </w:t>
      </w:r>
      <w:r>
        <w:t xml:space="preserve">- Internal communications (non-sensitive)</w:t>
      </w:r>
    </w:p>
    <w:p>
      <w:pPr>
        <w:pStyle w:val="BodyText"/>
      </w:pPr>
      <w:r>
        <w:rPr>
          <w:b/>
          <w:bCs/>
        </w:rPr>
        <w:t xml:space="preserve">Protection Requirements:</w:t>
      </w:r>
      <w:r>
        <w:t xml:space="preserve"> </w:t>
      </w:r>
      <w:r>
        <w:t xml:space="preserve">- Basic authentication required</w:t>
      </w:r>
      <w:r>
        <w:t xml:space="preserve"> </w:t>
      </w:r>
      <w:r>
        <w:t xml:space="preserve">- Access restricted to employees and authorized contractors</w:t>
      </w:r>
      <w:r>
        <w:t xml:space="preserve"> </w:t>
      </w:r>
      <w:r>
        <w:t xml:space="preserve">- Standard access controls</w:t>
      </w:r>
    </w:p>
    <w:p>
      <w:pPr>
        <w:pStyle w:val="BodyText"/>
      </w:pPr>
      <w:r>
        <w:rPr>
          <w:b/>
          <w:bCs/>
        </w:rPr>
        <w:t xml:space="preserve">Access:</w:t>
      </w:r>
      <w:r>
        <w:t xml:space="preserve"> </w:t>
      </w:r>
      <w:r>
        <w:t xml:space="preserve">- All employees</w:t>
      </w:r>
      <w:r>
        <w:t xml:space="preserve"> </w:t>
      </w:r>
      <w:r>
        <w:t xml:space="preserve">- Authorized contractors and vendors</w:t>
      </w:r>
      <w:r>
        <w:t xml:space="preserve"> </w:t>
      </w:r>
      <w:r>
        <w:t xml:space="preserve">- Requires valid authentication credentials</w:t>
      </w:r>
    </w:p>
    <w:p>
      <w:pPr>
        <w:pStyle w:val="BodyText"/>
      </w:pPr>
      <w:r>
        <w:rPr>
          <w:b/>
          <w:bCs/>
        </w:rPr>
        <w:t xml:space="preserve">Handling:</w:t>
      </w:r>
      <w:r>
        <w:t xml:space="preserve"> </w:t>
      </w:r>
      <w:r>
        <w:t xml:space="preserve">- Store in internal systems only</w:t>
      </w:r>
      <w:r>
        <w:t xml:space="preserve"> </w:t>
      </w:r>
      <w:r>
        <w:t xml:space="preserve">- Do not share externally without authorization</w:t>
      </w:r>
      <w:r>
        <w:t xml:space="preserve"> </w:t>
      </w:r>
      <w:r>
        <w:t xml:space="preserve">- Standard encryption in transit</w:t>
      </w:r>
    </w:p>
    <w:bookmarkEnd w:id="12"/>
    <w:bookmarkStart w:id="13" w:name="confidential"/>
    <w:p>
      <w:pPr>
        <w:pStyle w:val="Heading3"/>
      </w:pPr>
      <w:r>
        <w:t xml:space="preserve">3.3 Confidential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Sensitive business or personal information requiring protection from unauthorized disclosure.</w:t>
      </w:r>
    </w:p>
    <w:p>
      <w:pPr>
        <w:pStyle w:val="BodyText"/>
      </w:pPr>
      <w:r>
        <w:rPr>
          <w:b/>
          <w:bCs/>
        </w:rPr>
        <w:t xml:space="preserve">Examples:</w:t>
      </w:r>
      <w:r>
        <w:t xml:space="preserve"> </w:t>
      </w:r>
      <w:r>
        <w:t xml:space="preserve">- Customer PII (personally identifiable information)</w:t>
      </w:r>
      <w:r>
        <w:t xml:space="preserve"> </w:t>
      </w:r>
      <w:r>
        <w:t xml:space="preserve">- Financial data (non-PCI)</w:t>
      </w:r>
      <w:r>
        <w:t xml:space="preserve"> </w:t>
      </w:r>
      <w:r>
        <w:t xml:space="preserve">- Trade secrets</w:t>
      </w:r>
      <w:r>
        <w:t xml:space="preserve"> </w:t>
      </w:r>
      <w:r>
        <w:t xml:space="preserve">- Pricing information</w:t>
      </w:r>
      <w:r>
        <w:t xml:space="preserve"> </w:t>
      </w:r>
      <w:r>
        <w:t xml:space="preserve">- Employee personal information</w:t>
      </w:r>
      <w:r>
        <w:t xml:space="preserve"> </w:t>
      </w:r>
      <w:r>
        <w:t xml:space="preserve">- Customer contracts</w:t>
      </w:r>
      <w:r>
        <w:t xml:space="preserve"> </w:t>
      </w:r>
      <w:r>
        <w:t xml:space="preserve">- Proprietary algorithms</w:t>
      </w:r>
    </w:p>
    <w:p>
      <w:pPr>
        <w:pStyle w:val="BodyText"/>
      </w:pPr>
      <w:r>
        <w:rPr>
          <w:b/>
          <w:bCs/>
        </w:rPr>
        <w:t xml:space="preserve">Protection Requirements:</w:t>
      </w:r>
      <w:r>
        <w:t xml:space="preserve"> </w:t>
      </w:r>
      <w:r>
        <w:t xml:space="preserve">- Encryption in transit (TLS 1.2 or higher)</w:t>
      </w:r>
      <w:r>
        <w:t xml:space="preserve"> </w:t>
      </w:r>
      <w:r>
        <w:t xml:space="preserve">- Encryption at rest (AES-256 or equivalent)</w:t>
      </w:r>
      <w:r>
        <w:t xml:space="preserve"> </w:t>
      </w:r>
      <w:r>
        <w:t xml:space="preserve">- Access controls (need-to-know basis)</w:t>
      </w:r>
      <w:r>
        <w:t xml:space="preserve"> </w:t>
      </w:r>
      <w:r>
        <w:t xml:space="preserve">- Audit logging</w:t>
      </w:r>
      <w:r>
        <w:t xml:space="preserve"> </w:t>
      </w:r>
      <w:r>
        <w:t xml:space="preserve">- Multi-factor authentication for access</w:t>
      </w:r>
    </w:p>
    <w:p>
      <w:pPr>
        <w:pStyle w:val="BodyText"/>
      </w:pPr>
      <w:r>
        <w:rPr>
          <w:b/>
          <w:bCs/>
        </w:rPr>
        <w:t xml:space="preserve">Access:</w:t>
      </w:r>
      <w:r>
        <w:t xml:space="preserve"> </w:t>
      </w:r>
      <w:r>
        <w:t xml:space="preserve">- Authorized personnel only</w:t>
      </w:r>
      <w:r>
        <w:t xml:space="preserve"> </w:t>
      </w:r>
      <w:r>
        <w:t xml:space="preserve">- Need-to-know basis</w:t>
      </w:r>
      <w:r>
        <w:t xml:space="preserve"> </w:t>
      </w:r>
      <w:r>
        <w:t xml:space="preserve">- Requires management approval</w:t>
      </w:r>
      <w:r>
        <w:t xml:space="preserve"> </w:t>
      </w:r>
      <w:r>
        <w:t xml:space="preserve">- Regular access reviews</w:t>
      </w:r>
    </w:p>
    <w:p>
      <w:pPr>
        <w:pStyle w:val="BodyText"/>
      </w:pPr>
      <w:r>
        <w:rPr>
          <w:b/>
          <w:bCs/>
        </w:rPr>
        <w:t xml:space="preserve">Handling:</w:t>
      </w:r>
      <w:r>
        <w:t xml:space="preserve"> </w:t>
      </w:r>
      <w:r>
        <w:t xml:space="preserve">- Label documents with</w:t>
      </w:r>
      <w:r>
        <w:t xml:space="preserve"> </w:t>
      </w:r>
      <w:r>
        <w:t xml:space="preserve">“CONFIDENTIAL”</w:t>
      </w:r>
      <w:r>
        <w:t xml:space="preserve"> </w:t>
      </w:r>
      <w:r>
        <w:t xml:space="preserve">marking</w:t>
      </w:r>
      <w:r>
        <w:t xml:space="preserve"> </w:t>
      </w:r>
      <w:r>
        <w:t xml:space="preserve">- Store in secure, access-controlled systems</w:t>
      </w:r>
      <w:r>
        <w:t xml:space="preserve"> </w:t>
      </w:r>
      <w:r>
        <w:t xml:space="preserve">- Encrypt when transmitting externally</w:t>
      </w:r>
      <w:r>
        <w:t xml:space="preserve"> </w:t>
      </w:r>
      <w:r>
        <w:t xml:space="preserve">- Secure disposal when no longer needed</w:t>
      </w:r>
      <w:r>
        <w:t xml:space="preserve"> </w:t>
      </w:r>
      <w:r>
        <w:t xml:space="preserve">- Limit printing and physical copies</w:t>
      </w:r>
    </w:p>
    <w:bookmarkEnd w:id="13"/>
    <w:bookmarkStart w:id="14" w:name="restricted"/>
    <w:p>
      <w:pPr>
        <w:pStyle w:val="Heading3"/>
      </w:pPr>
      <w:r>
        <w:t xml:space="preserve">3.4 Restricted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Highly sensitive data requiring maximum protection due to regulatory requirements or severe business impact if compromised.</w:t>
      </w:r>
    </w:p>
    <w:p>
      <w:pPr>
        <w:pStyle w:val="BodyText"/>
      </w:pPr>
      <w:r>
        <w:rPr>
          <w:b/>
          <w:bCs/>
        </w:rPr>
        <w:t xml:space="preserve">Examples:</w:t>
      </w:r>
      <w:r>
        <w:t xml:space="preserve"> </w:t>
      </w:r>
      <w:r>
        <w:t xml:space="preserve">- Payment card data (PCI-DSS scope)</w:t>
      </w:r>
      <w:r>
        <w:t xml:space="preserve"> </w:t>
      </w:r>
      <w:r>
        <w:t xml:space="preserve">- Health information (HIPAA/PHI)</w:t>
      </w:r>
      <w:r>
        <w:t xml:space="preserve"> </w:t>
      </w:r>
      <w:r>
        <w:t xml:space="preserve">- Social Security Numbers</w:t>
      </w:r>
      <w:r>
        <w:t xml:space="preserve"> </w:t>
      </w:r>
      <w:r>
        <w:t xml:space="preserve">- Biometric data</w:t>
      </w:r>
      <w:r>
        <w:t xml:space="preserve"> </w:t>
      </w:r>
      <w:r>
        <w:t xml:space="preserve">- Financial account numbers</w:t>
      </w:r>
      <w:r>
        <w:t xml:space="preserve"> </w:t>
      </w:r>
      <w:r>
        <w:t xml:space="preserve">- Government-issued identification numbers</w:t>
      </w:r>
      <w:r>
        <w:t xml:space="preserve"> </w:t>
      </w:r>
      <w:r>
        <w:t xml:space="preserve">- Highly sensitive trade secrets</w:t>
      </w:r>
    </w:p>
    <w:p>
      <w:pPr>
        <w:pStyle w:val="BodyText"/>
      </w:pPr>
      <w:r>
        <w:rPr>
          <w:b/>
          <w:bCs/>
        </w:rPr>
        <w:t xml:space="preserve">Protection Requirements:</w:t>
      </w:r>
      <w:r>
        <w:t xml:space="preserve"> </w:t>
      </w:r>
      <w:r>
        <w:t xml:space="preserve">- Strong encryption (AES-256) at rest and in transit</w:t>
      </w:r>
      <w:r>
        <w:t xml:space="preserve"> </w:t>
      </w:r>
      <w:r>
        <w:t xml:space="preserve">- Multi-factor authentication mandatory</w:t>
      </w:r>
      <w:r>
        <w:t xml:space="preserve"> </w:t>
      </w:r>
      <w:r>
        <w:t xml:space="preserve">- Comprehensive audit logging</w:t>
      </w:r>
      <w:r>
        <w:t xml:space="preserve"> </w:t>
      </w:r>
      <w:r>
        <w:t xml:space="preserve">- Strict access controls</w:t>
      </w:r>
      <w:r>
        <w:t xml:space="preserve"> </w:t>
      </w:r>
      <w:r>
        <w:t xml:space="preserve">- Regular security assessments</w:t>
      </w:r>
      <w:r>
        <w:t xml:space="preserve"> </w:t>
      </w:r>
      <w:r>
        <w:t xml:space="preserve">- Compliance with applicable regulations (PCI-DSS, HIPAA, etc.)</w:t>
      </w:r>
    </w:p>
    <w:p>
      <w:pPr>
        <w:pStyle w:val="BodyText"/>
      </w:pPr>
      <w:r>
        <w:rPr>
          <w:b/>
          <w:bCs/>
        </w:rPr>
        <w:t xml:space="preserve">Access:</w:t>
      </w:r>
      <w:r>
        <w:t xml:space="preserve"> </w:t>
      </w:r>
      <w:r>
        <w:t xml:space="preserve">- Strictly limited access</w:t>
      </w:r>
      <w:r>
        <w:t xml:space="preserve"> </w:t>
      </w:r>
      <w:r>
        <w:t xml:space="preserve">- Requires special authorization</w:t>
      </w:r>
      <w:r>
        <w:t xml:space="preserve"> </w:t>
      </w:r>
      <w:r>
        <w:t xml:space="preserve">- Senior management approval required</w:t>
      </w:r>
      <w:r>
        <w:t xml:space="preserve"> </w:t>
      </w:r>
      <w:r>
        <w:t xml:space="preserve">- Regular access reviews (quarterly minimum)</w:t>
      </w:r>
      <w:r>
        <w:t xml:space="preserve"> </w:t>
      </w:r>
      <w:r>
        <w:t xml:space="preserve">- Background checks may be required</w:t>
      </w:r>
    </w:p>
    <w:p>
      <w:pPr>
        <w:pStyle w:val="BodyText"/>
      </w:pPr>
      <w:r>
        <w:rPr>
          <w:b/>
          <w:bCs/>
        </w:rPr>
        <w:t xml:space="preserve">Handling:</w:t>
      </w:r>
      <w:r>
        <w:t xml:space="preserve"> </w:t>
      </w:r>
      <w:r>
        <w:t xml:space="preserve">- Label documents with</w:t>
      </w:r>
      <w:r>
        <w:t xml:space="preserve"> </w:t>
      </w:r>
      <w:r>
        <w:t xml:space="preserve">“RESTRICTED”</w:t>
      </w:r>
      <w:r>
        <w:t xml:space="preserve"> </w:t>
      </w:r>
      <w:r>
        <w:t xml:space="preserve">marking</w:t>
      </w:r>
      <w:r>
        <w:t xml:space="preserve"> </w:t>
      </w:r>
      <w:r>
        <w:t xml:space="preserve">- Store in most secure systems</w:t>
      </w:r>
      <w:r>
        <w:t xml:space="preserve"> </w:t>
      </w:r>
      <w:r>
        <w:t xml:space="preserve">- Prohibit transmission via unencrypted channels</w:t>
      </w:r>
      <w:r>
        <w:t xml:space="preserve"> </w:t>
      </w:r>
      <w:r>
        <w:t xml:space="preserve">- Prohibit storage on portable devices without encryption</w:t>
      </w:r>
      <w:r>
        <w:t xml:space="preserve"> </w:t>
      </w:r>
      <w:r>
        <w:t xml:space="preserve">- Secure disposal with certificate of destruction</w:t>
      </w:r>
      <w:r>
        <w:t xml:space="preserve"> </w:t>
      </w:r>
      <w:r>
        <w:t xml:space="preserve">- Monitor all access and usage</w:t>
      </w:r>
    </w:p>
    <w:bookmarkEnd w:id="14"/>
    <w:bookmarkEnd w:id="15"/>
    <w:bookmarkStart w:id="20" w:name="classification-criteria"/>
    <w:p>
      <w:pPr>
        <w:pStyle w:val="Heading2"/>
      </w:pPr>
      <w:r>
        <w:t xml:space="preserve">4. Classification Criteria</w:t>
      </w:r>
    </w:p>
    <w:bookmarkStart w:id="16" w:name="personal-identifiable-information-pii"/>
    <w:p>
      <w:pPr>
        <w:pStyle w:val="Heading3"/>
      </w:pPr>
      <w:r>
        <w:t xml:space="preserve">4.1 Personal Identifiable Information (PII)</w:t>
      </w:r>
    </w:p>
    <w:p>
      <w:pPr>
        <w:pStyle w:val="FirstParagraph"/>
      </w:pPr>
      <w:r>
        <w:rPr>
          <w:b/>
          <w:bCs/>
        </w:rPr>
        <w:t xml:space="preserve">Classification:</w:t>
      </w:r>
      <w:r>
        <w:t xml:space="preserve"> </w:t>
      </w:r>
      <w:r>
        <w:t xml:space="preserve">Confidential or Restricted</w:t>
      </w:r>
    </w:p>
    <w:p>
      <w:pPr>
        <w:pStyle w:val="BodyText"/>
      </w:pPr>
      <w:r>
        <w:rPr>
          <w:b/>
          <w:bCs/>
        </w:rPr>
        <w:t xml:space="preserve">Includes:</w:t>
      </w:r>
      <w:r>
        <w:t xml:space="preserve"> </w:t>
      </w:r>
      <w:r>
        <w:t xml:space="preserve">- Full name combined with:</w:t>
      </w:r>
      <w:r>
        <w:t xml:space="preserve"> </w:t>
      </w:r>
      <w:r>
        <w:t xml:space="preserve">- Social Security Number</w:t>
      </w:r>
      <w:r>
        <w:t xml:space="preserve"> </w:t>
      </w:r>
      <w:r>
        <w:t xml:space="preserve">- Driver’s License Number</w:t>
      </w:r>
      <w:r>
        <w:t xml:space="preserve"> </w:t>
      </w:r>
      <w:r>
        <w:t xml:space="preserve">- Passport Number</w:t>
      </w:r>
      <w:r>
        <w:t xml:space="preserve"> </w:t>
      </w:r>
      <w:r>
        <w:t xml:space="preserve">- Financial Account Number</w:t>
      </w:r>
      <w:r>
        <w:t xml:space="preserve"> </w:t>
      </w:r>
      <w:r>
        <w:t xml:space="preserve">- Email address combined with password</w:t>
      </w:r>
      <w:r>
        <w:t xml:space="preserve"> </w:t>
      </w:r>
      <w:r>
        <w:t xml:space="preserve">- Biometric data</w:t>
      </w:r>
      <w:r>
        <w:t xml:space="preserve"> </w:t>
      </w:r>
      <w:r>
        <w:t xml:space="preserve">- Medical records</w:t>
      </w:r>
    </w:p>
    <w:p>
      <w:pPr>
        <w:pStyle w:val="BodyText"/>
      </w:pPr>
      <w:r>
        <w:rPr>
          <w:b/>
          <w:bCs/>
        </w:rPr>
        <w:t xml:space="preserve">Determining Factor:</w:t>
      </w:r>
      <w:r>
        <w:t xml:space="preserve"> </w:t>
      </w:r>
      <w:r>
        <w:t xml:space="preserve">The combination of identifiers that could uniquely identify an individual.</w:t>
      </w:r>
    </w:p>
    <w:bookmarkEnd w:id="16"/>
    <w:bookmarkStart w:id="17" w:name="financial-information"/>
    <w:p>
      <w:pPr>
        <w:pStyle w:val="Heading3"/>
      </w:pPr>
      <w:r>
        <w:t xml:space="preserve">4.2 Financial Information</w:t>
      </w:r>
    </w:p>
    <w:p>
      <w:pPr>
        <w:pStyle w:val="FirstParagraph"/>
      </w:pPr>
      <w:r>
        <w:rPr>
          <w:b/>
          <w:bCs/>
        </w:rPr>
        <w:t xml:space="preserve">Credit Card Numbers:</w:t>
      </w:r>
      <w:r>
        <w:t xml:space="preserve"> </w:t>
      </w:r>
      <w:r>
        <w:t xml:space="preserve">Restricted (PCI-DSS compliance required)</w:t>
      </w:r>
      <w:r>
        <w:t xml:space="preserve"> </w:t>
      </w:r>
      <w:r>
        <w:rPr>
          <w:b/>
          <w:bCs/>
        </w:rPr>
        <w:t xml:space="preserve">Bank Account Numbers:</w:t>
      </w:r>
      <w:r>
        <w:t xml:space="preserve"> </w:t>
      </w:r>
      <w:r>
        <w:t xml:space="preserve">Restricted</w:t>
      </w:r>
      <w:r>
        <w:t xml:space="preserve"> </w:t>
      </w:r>
      <w:r>
        <w:rPr>
          <w:b/>
          <w:bCs/>
        </w:rPr>
        <w:t xml:space="preserve">Salary Information:</w:t>
      </w:r>
      <w:r>
        <w:t xml:space="preserve"> </w:t>
      </w:r>
      <w:r>
        <w:t xml:space="preserve">Confidential</w:t>
      </w:r>
      <w:r>
        <w:t xml:space="preserve"> </w:t>
      </w:r>
      <w:r>
        <w:rPr>
          <w:b/>
          <w:bCs/>
        </w:rPr>
        <w:t xml:space="preserve">Company Financial Statements:</w:t>
      </w:r>
      <w:r>
        <w:t xml:space="preserve"> </w:t>
      </w:r>
      <w:r>
        <w:t xml:space="preserve">Confidential</w:t>
      </w:r>
      <w:r>
        <w:t xml:space="preserve"> </w:t>
      </w:r>
      <w:r>
        <w:rPr>
          <w:b/>
          <w:bCs/>
        </w:rPr>
        <w:t xml:space="preserve">Financial Reports (non-public):</w:t>
      </w:r>
      <w:r>
        <w:t xml:space="preserve"> </w:t>
      </w:r>
      <w:r>
        <w:t xml:space="preserve">Confidential</w:t>
      </w:r>
    </w:p>
    <w:bookmarkEnd w:id="17"/>
    <w:bookmarkStart w:id="18" w:name="intellectual-property"/>
    <w:p>
      <w:pPr>
        <w:pStyle w:val="Heading3"/>
      </w:pPr>
      <w:r>
        <w:t xml:space="preserve">4.3 Intellectual Property</w:t>
      </w:r>
    </w:p>
    <w:p>
      <w:pPr>
        <w:pStyle w:val="FirstParagraph"/>
      </w:pPr>
      <w:r>
        <w:rPr>
          <w:b/>
          <w:bCs/>
        </w:rPr>
        <w:t xml:space="preserve">Patents Pending:</w:t>
      </w:r>
      <w:r>
        <w:t xml:space="preserve"> </w:t>
      </w:r>
      <w:r>
        <w:t xml:space="preserve">Confidential</w:t>
      </w:r>
      <w:r>
        <w:t xml:space="preserve"> </w:t>
      </w:r>
      <w:r>
        <w:rPr>
          <w:b/>
          <w:bCs/>
        </w:rPr>
        <w:t xml:space="preserve">Trade Secrets:</w:t>
      </w:r>
      <w:r>
        <w:t xml:space="preserve"> </w:t>
      </w:r>
      <w:r>
        <w:t xml:space="preserve">Confidential</w:t>
      </w:r>
      <w:r>
        <w:t xml:space="preserve"> </w:t>
      </w:r>
      <w:r>
        <w:rPr>
          <w:b/>
          <w:bCs/>
        </w:rPr>
        <w:t xml:space="preserve">Proprietary Algorithms:</w:t>
      </w:r>
      <w:r>
        <w:t xml:space="preserve"> </w:t>
      </w:r>
      <w:r>
        <w:t xml:space="preserve">Confidential or Restricted</w:t>
      </w:r>
      <w:r>
        <w:t xml:space="preserve"> </w:t>
      </w:r>
      <w:r>
        <w:rPr>
          <w:b/>
          <w:bCs/>
        </w:rPr>
        <w:t xml:space="preserve">Source Code:</w:t>
      </w:r>
      <w:r>
        <w:t xml:space="preserve"> </w:t>
      </w:r>
      <w:r>
        <w:t xml:space="preserve">Confidential</w:t>
      </w:r>
      <w:r>
        <w:t xml:space="preserve"> </w:t>
      </w:r>
      <w:r>
        <w:rPr>
          <w:b/>
          <w:bCs/>
        </w:rPr>
        <w:t xml:space="preserve">Business Plans:</w:t>
      </w:r>
      <w:r>
        <w:t xml:space="preserve"> </w:t>
      </w:r>
      <w:r>
        <w:t xml:space="preserve">Confidential</w:t>
      </w:r>
    </w:p>
    <w:bookmarkEnd w:id="18"/>
    <w:bookmarkStart w:id="19" w:name="health-information"/>
    <w:p>
      <w:pPr>
        <w:pStyle w:val="Heading3"/>
      </w:pPr>
      <w:r>
        <w:t xml:space="preserve">4.4 Health Information</w:t>
      </w:r>
    </w:p>
    <w:p>
      <w:pPr>
        <w:pStyle w:val="FirstParagraph"/>
      </w:pPr>
      <w:r>
        <w:rPr>
          <w:b/>
          <w:bCs/>
        </w:rPr>
        <w:t xml:space="preserve">Protected Health Information (PHI):</w:t>
      </w:r>
      <w:r>
        <w:t xml:space="preserve"> </w:t>
      </w:r>
      <w:r>
        <w:t xml:space="preserve">Restricted (HIPAA compliance required)</w:t>
      </w:r>
      <w:r>
        <w:t xml:space="preserve"> </w:t>
      </w:r>
      <w:r>
        <w:rPr>
          <w:b/>
          <w:bCs/>
        </w:rPr>
        <w:t xml:space="preserve">Medical Records:</w:t>
      </w:r>
      <w:r>
        <w:t xml:space="preserve"> </w:t>
      </w:r>
      <w:r>
        <w:t xml:space="preserve">Restricted</w:t>
      </w:r>
      <w:r>
        <w:t xml:space="preserve"> </w:t>
      </w:r>
      <w:r>
        <w:rPr>
          <w:b/>
          <w:bCs/>
        </w:rPr>
        <w:t xml:space="preserve">Health Insurance Information:</w:t>
      </w:r>
      <w:r>
        <w:t xml:space="preserve"> </w:t>
      </w:r>
      <w:r>
        <w:t xml:space="preserve">Restricted</w:t>
      </w:r>
    </w:p>
    <w:bookmarkEnd w:id="19"/>
    <w:bookmarkEnd w:id="20"/>
    <w:bookmarkStart w:id="27" w:name="data-handling-requirements"/>
    <w:p>
      <w:pPr>
        <w:pStyle w:val="Heading2"/>
      </w:pPr>
      <w:r>
        <w:t xml:space="preserve">5. Data Handling Requirements</w:t>
      </w:r>
    </w:p>
    <w:bookmarkStart w:id="21" w:name="data-collection"/>
    <w:p>
      <w:pPr>
        <w:pStyle w:val="Heading3"/>
      </w:pPr>
      <w:r>
        <w:t xml:space="preserve">5.1 Data Collection</w:t>
      </w:r>
    </w:p>
    <w:p>
      <w:pPr>
        <w:pStyle w:val="Compact"/>
        <w:numPr>
          <w:ilvl w:val="0"/>
          <w:numId w:val="1001"/>
        </w:numPr>
      </w:pPr>
      <w:r>
        <w:t xml:space="preserve">Collect only data necessary for business purposes</w:t>
      </w:r>
    </w:p>
    <w:p>
      <w:pPr>
        <w:pStyle w:val="Compact"/>
        <w:numPr>
          <w:ilvl w:val="0"/>
          <w:numId w:val="1001"/>
        </w:numPr>
      </w:pPr>
      <w:r>
        <w:t xml:space="preserve">Obtain appropriate consent for PII collection</w:t>
      </w:r>
    </w:p>
    <w:p>
      <w:pPr>
        <w:pStyle w:val="Compact"/>
        <w:numPr>
          <w:ilvl w:val="0"/>
          <w:numId w:val="1001"/>
        </w:numPr>
      </w:pPr>
      <w:r>
        <w:t xml:space="preserve">Document data collection purposes</w:t>
      </w:r>
    </w:p>
    <w:p>
      <w:pPr>
        <w:pStyle w:val="Compact"/>
        <w:numPr>
          <w:ilvl w:val="0"/>
          <w:numId w:val="1001"/>
        </w:numPr>
      </w:pPr>
      <w:r>
        <w:t xml:space="preserve">Minimize data collection (data minimization principle)</w:t>
      </w:r>
    </w:p>
    <w:bookmarkEnd w:id="21"/>
    <w:bookmarkStart w:id="22" w:name="data-storage"/>
    <w:p>
      <w:pPr>
        <w:pStyle w:val="Heading3"/>
      </w:pPr>
      <w:r>
        <w:t xml:space="preserve">5.2 Data Storage</w:t>
      </w:r>
    </w:p>
    <w:p>
      <w:pPr>
        <w:pStyle w:val="Compact"/>
        <w:numPr>
          <w:ilvl w:val="0"/>
          <w:numId w:val="1002"/>
        </w:numPr>
      </w:pPr>
      <w:r>
        <w:t xml:space="preserve">Store data according to classification level</w:t>
      </w:r>
    </w:p>
    <w:p>
      <w:pPr>
        <w:pStyle w:val="Compact"/>
        <w:numPr>
          <w:ilvl w:val="0"/>
          <w:numId w:val="1002"/>
        </w:numPr>
      </w:pPr>
      <w:r>
        <w:t xml:space="preserve">Use encrypted storage for Confidential and Restricted data</w:t>
      </w:r>
    </w:p>
    <w:p>
      <w:pPr>
        <w:pStyle w:val="Compact"/>
        <w:numPr>
          <w:ilvl w:val="0"/>
          <w:numId w:val="1002"/>
        </w:numPr>
      </w:pPr>
      <w:r>
        <w:t xml:space="preserve">Implement access controls based on classification</w:t>
      </w:r>
    </w:p>
    <w:p>
      <w:pPr>
        <w:pStyle w:val="Compact"/>
        <w:numPr>
          <w:ilvl w:val="0"/>
          <w:numId w:val="1002"/>
        </w:numPr>
      </w:pPr>
      <w:r>
        <w:t xml:space="preserve">Regular backup of critical data</w:t>
      </w:r>
    </w:p>
    <w:p>
      <w:pPr>
        <w:pStyle w:val="Compact"/>
        <w:numPr>
          <w:ilvl w:val="0"/>
          <w:numId w:val="1002"/>
        </w:numPr>
      </w:pPr>
      <w:r>
        <w:t xml:space="preserve">Secure disposal of data no longer needed</w:t>
      </w:r>
    </w:p>
    <w:bookmarkEnd w:id="22"/>
    <w:bookmarkStart w:id="23" w:name="data-transmission"/>
    <w:p>
      <w:pPr>
        <w:pStyle w:val="Heading3"/>
      </w:pPr>
      <w:r>
        <w:t xml:space="preserve">5.3 Data Transmission</w:t>
      </w:r>
    </w:p>
    <w:p>
      <w:pPr>
        <w:pStyle w:val="Compact"/>
        <w:numPr>
          <w:ilvl w:val="0"/>
          <w:numId w:val="1003"/>
        </w:numPr>
      </w:pPr>
      <w:r>
        <w:t xml:space="preserve">Encrypt all Confidential and Restricted data in transit</w:t>
      </w:r>
    </w:p>
    <w:p>
      <w:pPr>
        <w:pStyle w:val="Compact"/>
        <w:numPr>
          <w:ilvl w:val="0"/>
          <w:numId w:val="1003"/>
        </w:numPr>
      </w:pPr>
      <w:r>
        <w:t xml:space="preserve">Use secure communication channels (TLS 1.2+)</w:t>
      </w:r>
    </w:p>
    <w:p>
      <w:pPr>
        <w:pStyle w:val="Compact"/>
        <w:numPr>
          <w:ilvl w:val="0"/>
          <w:numId w:val="1003"/>
        </w:numPr>
      </w:pPr>
      <w:r>
        <w:t xml:space="preserve">Avoid transmitting Restricted data via email</w:t>
      </w:r>
    </w:p>
    <w:p>
      <w:pPr>
        <w:pStyle w:val="Compact"/>
        <w:numPr>
          <w:ilvl w:val="0"/>
          <w:numId w:val="1003"/>
        </w:numPr>
      </w:pPr>
      <w:r>
        <w:t xml:space="preserve">Use secure file transfer methods for sensitive data</w:t>
      </w:r>
    </w:p>
    <w:bookmarkEnd w:id="23"/>
    <w:bookmarkStart w:id="24" w:name="data-access"/>
    <w:p>
      <w:pPr>
        <w:pStyle w:val="Heading3"/>
      </w:pPr>
      <w:r>
        <w:t xml:space="preserve">5.4 Data Access</w:t>
      </w:r>
    </w:p>
    <w:p>
      <w:pPr>
        <w:pStyle w:val="Compact"/>
        <w:numPr>
          <w:ilvl w:val="0"/>
          <w:numId w:val="1004"/>
        </w:numPr>
      </w:pPr>
      <w:r>
        <w:t xml:space="preserve">Implement role-based access control</w:t>
      </w:r>
    </w:p>
    <w:p>
      <w:pPr>
        <w:pStyle w:val="Compact"/>
        <w:numPr>
          <w:ilvl w:val="0"/>
          <w:numId w:val="1004"/>
        </w:numPr>
      </w:pPr>
      <w:r>
        <w:t xml:space="preserve">Enforce need-to-know principle</w:t>
      </w:r>
    </w:p>
    <w:p>
      <w:pPr>
        <w:pStyle w:val="Compact"/>
        <w:numPr>
          <w:ilvl w:val="0"/>
          <w:numId w:val="1004"/>
        </w:numPr>
      </w:pPr>
      <w:r>
        <w:t xml:space="preserve">Regular access reviews</w:t>
      </w:r>
    </w:p>
    <w:p>
      <w:pPr>
        <w:pStyle w:val="Compact"/>
        <w:numPr>
          <w:ilvl w:val="0"/>
          <w:numId w:val="1004"/>
        </w:numPr>
      </w:pPr>
      <w:r>
        <w:t xml:space="preserve">Monitor and log all access to sensitive data</w:t>
      </w:r>
    </w:p>
    <w:p>
      <w:pPr>
        <w:pStyle w:val="Compact"/>
        <w:numPr>
          <w:ilvl w:val="0"/>
          <w:numId w:val="1004"/>
        </w:numPr>
      </w:pPr>
      <w:r>
        <w:t xml:space="preserve">Require MFA for Restricted data access</w:t>
      </w:r>
    </w:p>
    <w:bookmarkEnd w:id="24"/>
    <w:bookmarkStart w:id="25" w:name="data-retention"/>
    <w:p>
      <w:pPr>
        <w:pStyle w:val="Heading3"/>
      </w:pPr>
      <w:r>
        <w:t xml:space="preserve">5.5 Data Retention</w:t>
      </w:r>
    </w:p>
    <w:p>
      <w:pPr>
        <w:pStyle w:val="Compact"/>
        <w:numPr>
          <w:ilvl w:val="0"/>
          <w:numId w:val="1005"/>
        </w:numPr>
      </w:pPr>
      <w:r>
        <w:t xml:space="preserve">Retain data per business and regulatory requirements</w:t>
      </w:r>
    </w:p>
    <w:p>
      <w:pPr>
        <w:pStyle w:val="Compact"/>
        <w:numPr>
          <w:ilvl w:val="0"/>
          <w:numId w:val="1005"/>
        </w:numPr>
      </w:pPr>
      <w:r>
        <w:t xml:space="preserve">Document retention periods by data type</w:t>
      </w:r>
    </w:p>
    <w:p>
      <w:pPr>
        <w:pStyle w:val="Compact"/>
        <w:numPr>
          <w:ilvl w:val="0"/>
          <w:numId w:val="1005"/>
        </w:numPr>
      </w:pPr>
      <w:r>
        <w:t xml:space="preserve">Secure deletion when retention period expires</w:t>
      </w:r>
    </w:p>
    <w:p>
      <w:pPr>
        <w:pStyle w:val="Compact"/>
        <w:numPr>
          <w:ilvl w:val="0"/>
          <w:numId w:val="1005"/>
        </w:numPr>
      </w:pPr>
      <w:r>
        <w:t xml:space="preserve">Legal hold procedures for litigation</w:t>
      </w:r>
    </w:p>
    <w:bookmarkEnd w:id="25"/>
    <w:bookmarkStart w:id="26" w:name="data-disposal"/>
    <w:p>
      <w:pPr>
        <w:pStyle w:val="Heading3"/>
      </w:pPr>
      <w:r>
        <w:t xml:space="preserve">5.6 Data Disposal</w:t>
      </w:r>
    </w:p>
    <w:p>
      <w:pPr>
        <w:pStyle w:val="Compact"/>
        <w:numPr>
          <w:ilvl w:val="0"/>
          <w:numId w:val="1006"/>
        </w:numPr>
      </w:pPr>
      <w:r>
        <w:t xml:space="preserve">Secure deletion methods for electronic data</w:t>
      </w:r>
    </w:p>
    <w:p>
      <w:pPr>
        <w:pStyle w:val="Compact"/>
        <w:numPr>
          <w:ilvl w:val="0"/>
          <w:numId w:val="1006"/>
        </w:numPr>
      </w:pPr>
      <w:r>
        <w:t xml:space="preserve">Physical destruction for paper documents</w:t>
      </w:r>
    </w:p>
    <w:p>
      <w:pPr>
        <w:pStyle w:val="Compact"/>
        <w:numPr>
          <w:ilvl w:val="0"/>
          <w:numId w:val="1006"/>
        </w:numPr>
      </w:pPr>
      <w:r>
        <w:t xml:space="preserve">Certificate of destruction for Restricted data</w:t>
      </w:r>
    </w:p>
    <w:p>
      <w:pPr>
        <w:pStyle w:val="Compact"/>
        <w:numPr>
          <w:ilvl w:val="0"/>
          <w:numId w:val="1006"/>
        </w:numPr>
      </w:pPr>
      <w:r>
        <w:t xml:space="preserve">Log all disposal activities</w:t>
      </w:r>
    </w:p>
    <w:p>
      <w:pPr>
        <w:pStyle w:val="Compact"/>
        <w:numPr>
          <w:ilvl w:val="0"/>
          <w:numId w:val="1006"/>
        </w:numPr>
      </w:pPr>
      <w:r>
        <w:t xml:space="preserve">Verify disposal completion</w:t>
      </w:r>
    </w:p>
    <w:bookmarkEnd w:id="26"/>
    <w:bookmarkEnd w:id="27"/>
    <w:bookmarkStart w:id="31" w:name="labeling-and-marking"/>
    <w:p>
      <w:pPr>
        <w:pStyle w:val="Heading2"/>
      </w:pPr>
      <w:r>
        <w:t xml:space="preserve">6. Labeling and Marking</w:t>
      </w:r>
    </w:p>
    <w:bookmarkStart w:id="28" w:name="electronic-documents"/>
    <w:p>
      <w:pPr>
        <w:pStyle w:val="Heading3"/>
      </w:pPr>
      <w:r>
        <w:t xml:space="preserve">6.1 Electronic Documents</w:t>
      </w:r>
    </w:p>
    <w:p>
      <w:pPr>
        <w:pStyle w:val="Compact"/>
        <w:numPr>
          <w:ilvl w:val="0"/>
          <w:numId w:val="1007"/>
        </w:numPr>
      </w:pPr>
      <w:r>
        <w:t xml:space="preserve">Include classification in document metadata</w:t>
      </w:r>
    </w:p>
    <w:p>
      <w:pPr>
        <w:pStyle w:val="Compact"/>
        <w:numPr>
          <w:ilvl w:val="0"/>
          <w:numId w:val="1007"/>
        </w:numPr>
      </w:pPr>
      <w:r>
        <w:t xml:space="preserve">Use document headers/footers for classification marking</w:t>
      </w:r>
    </w:p>
    <w:p>
      <w:pPr>
        <w:pStyle w:val="Compact"/>
        <w:numPr>
          <w:ilvl w:val="0"/>
          <w:numId w:val="1007"/>
        </w:numPr>
      </w:pPr>
      <w:r>
        <w:t xml:space="preserve">Apply classification labels in document management systems</w:t>
      </w:r>
    </w:p>
    <w:p>
      <w:pPr>
        <w:pStyle w:val="Compact"/>
        <w:numPr>
          <w:ilvl w:val="0"/>
          <w:numId w:val="1007"/>
        </w:numPr>
      </w:pPr>
      <w:r>
        <w:t xml:space="preserve">Database and column-level classification labels</w:t>
      </w:r>
    </w:p>
    <w:bookmarkEnd w:id="28"/>
    <w:bookmarkStart w:id="29" w:name="physical-documents"/>
    <w:p>
      <w:pPr>
        <w:pStyle w:val="Heading3"/>
      </w:pPr>
      <w:r>
        <w:t xml:space="preserve">6.2 Physical Documents</w:t>
      </w:r>
    </w:p>
    <w:p>
      <w:pPr>
        <w:pStyle w:val="Compact"/>
        <w:numPr>
          <w:ilvl w:val="0"/>
          <w:numId w:val="1008"/>
        </w:numPr>
      </w:pPr>
      <w:r>
        <w:t xml:space="preserve">Mark documents with classification labels</w:t>
      </w:r>
    </w:p>
    <w:p>
      <w:pPr>
        <w:pStyle w:val="Compact"/>
        <w:numPr>
          <w:ilvl w:val="0"/>
          <w:numId w:val="1008"/>
        </w:numPr>
      </w:pPr>
      <w:r>
        <w:t xml:space="preserve">Use color-coded covers/folders if applicable</w:t>
      </w:r>
    </w:p>
    <w:p>
      <w:pPr>
        <w:pStyle w:val="Compact"/>
        <w:numPr>
          <w:ilvl w:val="0"/>
          <w:numId w:val="1008"/>
        </w:numPr>
      </w:pPr>
      <w:r>
        <w:t xml:space="preserve">Secure storage for Confidential and Restricted documents</w:t>
      </w:r>
    </w:p>
    <w:bookmarkEnd w:id="29"/>
    <w:bookmarkStart w:id="30" w:name="systems-and-applications"/>
    <w:p>
      <w:pPr>
        <w:pStyle w:val="Heading3"/>
      </w:pPr>
      <w:r>
        <w:t xml:space="preserve">6.3 Systems and Applications</w:t>
      </w:r>
    </w:p>
    <w:p>
      <w:pPr>
        <w:pStyle w:val="Compact"/>
        <w:numPr>
          <w:ilvl w:val="0"/>
          <w:numId w:val="1009"/>
        </w:numPr>
      </w:pPr>
      <w:r>
        <w:t xml:space="preserve">Display classification levels in user interfaces</w:t>
      </w:r>
    </w:p>
    <w:p>
      <w:pPr>
        <w:pStyle w:val="Compact"/>
        <w:numPr>
          <w:ilvl w:val="0"/>
          <w:numId w:val="1009"/>
        </w:numPr>
      </w:pPr>
      <w:r>
        <w:t xml:space="preserve">Apply classification labels to databases and data stores</w:t>
      </w:r>
    </w:p>
    <w:p>
      <w:pPr>
        <w:pStyle w:val="Compact"/>
        <w:numPr>
          <w:ilvl w:val="0"/>
          <w:numId w:val="1009"/>
        </w:numPr>
      </w:pPr>
      <w:r>
        <w:t xml:space="preserve">Include classification in system documentation</w:t>
      </w:r>
    </w:p>
    <w:bookmarkEnd w:id="30"/>
    <w:bookmarkEnd w:id="31"/>
    <w:bookmarkStart w:id="36" w:name="responsibilities"/>
    <w:p>
      <w:pPr>
        <w:pStyle w:val="Heading2"/>
      </w:pPr>
      <w:r>
        <w:t xml:space="preserve">7. Responsibilities</w:t>
      </w:r>
    </w:p>
    <w:bookmarkStart w:id="32" w:name="data-owners"/>
    <w:p>
      <w:pPr>
        <w:pStyle w:val="Heading3"/>
      </w:pPr>
      <w:r>
        <w:t xml:space="preserve">7.1 Data Owners</w:t>
      </w:r>
    </w:p>
    <w:p>
      <w:pPr>
        <w:pStyle w:val="Compact"/>
        <w:numPr>
          <w:ilvl w:val="0"/>
          <w:numId w:val="1010"/>
        </w:numPr>
      </w:pPr>
      <w:r>
        <w:t xml:space="preserve">Classify data under their responsibility</w:t>
      </w:r>
    </w:p>
    <w:p>
      <w:pPr>
        <w:pStyle w:val="Compact"/>
        <w:numPr>
          <w:ilvl w:val="0"/>
          <w:numId w:val="1010"/>
        </w:numPr>
      </w:pPr>
      <w:r>
        <w:t xml:space="preserve">Approve access requests</w:t>
      </w:r>
    </w:p>
    <w:p>
      <w:pPr>
        <w:pStyle w:val="Compact"/>
        <w:numPr>
          <w:ilvl w:val="0"/>
          <w:numId w:val="1010"/>
        </w:numPr>
      </w:pPr>
      <w:r>
        <w:t xml:space="preserve">Review classification periodically</w:t>
      </w:r>
    </w:p>
    <w:p>
      <w:pPr>
        <w:pStyle w:val="Compact"/>
        <w:numPr>
          <w:ilvl w:val="0"/>
          <w:numId w:val="1010"/>
        </w:numPr>
      </w:pPr>
      <w:r>
        <w:t xml:space="preserve">Ensure compliance with this policy</w:t>
      </w:r>
    </w:p>
    <w:bookmarkEnd w:id="32"/>
    <w:bookmarkStart w:id="33" w:name="data-custodians-itsecurity"/>
    <w:p>
      <w:pPr>
        <w:pStyle w:val="Heading3"/>
      </w:pPr>
      <w:r>
        <w:t xml:space="preserve">7.2 Data Custodians (IT/Security)</w:t>
      </w:r>
    </w:p>
    <w:p>
      <w:pPr>
        <w:pStyle w:val="Compact"/>
        <w:numPr>
          <w:ilvl w:val="0"/>
          <w:numId w:val="1011"/>
        </w:numPr>
      </w:pPr>
      <w:r>
        <w:t xml:space="preserve">Implement technical controls per classification</w:t>
      </w:r>
    </w:p>
    <w:p>
      <w:pPr>
        <w:pStyle w:val="Compact"/>
        <w:numPr>
          <w:ilvl w:val="0"/>
          <w:numId w:val="1011"/>
        </w:numPr>
      </w:pPr>
      <w:r>
        <w:t xml:space="preserve">Manage access controls</w:t>
      </w:r>
    </w:p>
    <w:p>
      <w:pPr>
        <w:pStyle w:val="Compact"/>
        <w:numPr>
          <w:ilvl w:val="0"/>
          <w:numId w:val="1011"/>
        </w:numPr>
      </w:pPr>
      <w:r>
        <w:t xml:space="preserve">Monitor and audit data access</w:t>
      </w:r>
    </w:p>
    <w:p>
      <w:pPr>
        <w:pStyle w:val="Compact"/>
        <w:numPr>
          <w:ilvl w:val="0"/>
          <w:numId w:val="1011"/>
        </w:numPr>
      </w:pPr>
      <w:r>
        <w:t xml:space="preserve">Ensure secure storage and transmission</w:t>
      </w:r>
    </w:p>
    <w:bookmarkEnd w:id="33"/>
    <w:bookmarkStart w:id="34" w:name="data-users"/>
    <w:p>
      <w:pPr>
        <w:pStyle w:val="Heading3"/>
      </w:pPr>
      <w:r>
        <w:t xml:space="preserve">7.3 Data Users</w:t>
      </w:r>
    </w:p>
    <w:p>
      <w:pPr>
        <w:pStyle w:val="Compact"/>
        <w:numPr>
          <w:ilvl w:val="0"/>
          <w:numId w:val="1012"/>
        </w:numPr>
      </w:pPr>
      <w:r>
        <w:t xml:space="preserve">Follow classification and handling requirements</w:t>
      </w:r>
    </w:p>
    <w:p>
      <w:pPr>
        <w:pStyle w:val="Compact"/>
        <w:numPr>
          <w:ilvl w:val="0"/>
          <w:numId w:val="1012"/>
        </w:numPr>
      </w:pPr>
      <w:r>
        <w:t xml:space="preserve">Report misclassified data</w:t>
      </w:r>
    </w:p>
    <w:p>
      <w:pPr>
        <w:pStyle w:val="Compact"/>
        <w:numPr>
          <w:ilvl w:val="0"/>
          <w:numId w:val="1012"/>
        </w:numPr>
      </w:pPr>
      <w:r>
        <w:t xml:space="preserve">Protect data according to classification</w:t>
      </w:r>
    </w:p>
    <w:p>
      <w:pPr>
        <w:pStyle w:val="Compact"/>
        <w:numPr>
          <w:ilvl w:val="0"/>
          <w:numId w:val="1012"/>
        </w:numPr>
      </w:pPr>
      <w:r>
        <w:t xml:space="preserve">Complete required training</w:t>
      </w:r>
    </w:p>
    <w:bookmarkEnd w:id="34"/>
    <w:bookmarkStart w:id="35" w:name="information-security-team"/>
    <w:p>
      <w:pPr>
        <w:pStyle w:val="Heading3"/>
      </w:pPr>
      <w:r>
        <w:t xml:space="preserve">7.4 Information Security Team</w:t>
      </w:r>
    </w:p>
    <w:p>
      <w:pPr>
        <w:pStyle w:val="Compact"/>
        <w:numPr>
          <w:ilvl w:val="0"/>
          <w:numId w:val="1013"/>
        </w:numPr>
      </w:pPr>
      <w:r>
        <w:t xml:space="preserve">Maintain this policy</w:t>
      </w:r>
    </w:p>
    <w:p>
      <w:pPr>
        <w:pStyle w:val="Compact"/>
        <w:numPr>
          <w:ilvl w:val="0"/>
          <w:numId w:val="1013"/>
        </w:numPr>
      </w:pPr>
      <w:r>
        <w:t xml:space="preserve">Provide classification guidance</w:t>
      </w:r>
    </w:p>
    <w:p>
      <w:pPr>
        <w:pStyle w:val="Compact"/>
        <w:numPr>
          <w:ilvl w:val="0"/>
          <w:numId w:val="1013"/>
        </w:numPr>
      </w:pPr>
      <w:r>
        <w:t xml:space="preserve">Conduct training</w:t>
      </w:r>
    </w:p>
    <w:p>
      <w:pPr>
        <w:pStyle w:val="Compact"/>
        <w:numPr>
          <w:ilvl w:val="0"/>
          <w:numId w:val="1013"/>
        </w:numPr>
      </w:pPr>
      <w:r>
        <w:t xml:space="preserve">Monitor compliance</w:t>
      </w:r>
    </w:p>
    <w:p>
      <w:pPr>
        <w:pStyle w:val="Compact"/>
        <w:numPr>
          <w:ilvl w:val="0"/>
          <w:numId w:val="1013"/>
        </w:numPr>
      </w:pPr>
      <w:r>
        <w:t xml:space="preserve">Investigate violations</w:t>
      </w:r>
    </w:p>
    <w:bookmarkEnd w:id="35"/>
    <w:bookmarkEnd w:id="36"/>
    <w:bookmarkStart w:id="37" w:name="training-and-awareness"/>
    <w:p>
      <w:pPr>
        <w:pStyle w:val="Heading2"/>
      </w:pPr>
      <w:r>
        <w:t xml:space="preserve">8. Training and Awareness</w:t>
      </w:r>
    </w:p>
    <w:p>
      <w:pPr>
        <w:pStyle w:val="Compact"/>
        <w:numPr>
          <w:ilvl w:val="0"/>
          <w:numId w:val="1014"/>
        </w:numPr>
      </w:pPr>
      <w:r>
        <w:t xml:space="preserve">All personnel must complete data classification training</w:t>
      </w:r>
    </w:p>
    <w:p>
      <w:pPr>
        <w:pStyle w:val="Compact"/>
        <w:numPr>
          <w:ilvl w:val="0"/>
          <w:numId w:val="1014"/>
        </w:numPr>
      </w:pPr>
      <w:r>
        <w:t xml:space="preserve">Training required upon hire and annually</w:t>
      </w:r>
    </w:p>
    <w:p>
      <w:pPr>
        <w:pStyle w:val="Compact"/>
        <w:numPr>
          <w:ilvl w:val="0"/>
          <w:numId w:val="1014"/>
        </w:numPr>
      </w:pPr>
      <w:r>
        <w:t xml:space="preserve">Role-specific training for data handlers</w:t>
      </w:r>
    </w:p>
    <w:p>
      <w:pPr>
        <w:pStyle w:val="Compact"/>
        <w:numPr>
          <w:ilvl w:val="0"/>
          <w:numId w:val="1014"/>
        </w:numPr>
      </w:pPr>
      <w:r>
        <w:t xml:space="preserve">Awareness campaigns for policy updates</w:t>
      </w:r>
    </w:p>
    <w:bookmarkEnd w:id="37"/>
    <w:bookmarkStart w:id="40" w:name="compliance"/>
    <w:p>
      <w:pPr>
        <w:pStyle w:val="Heading2"/>
      </w:pPr>
      <w:r>
        <w:t xml:space="preserve">9. Compliance</w:t>
      </w:r>
    </w:p>
    <w:bookmarkStart w:id="38" w:name="regulatory-requirements"/>
    <w:p>
      <w:pPr>
        <w:pStyle w:val="Heading3"/>
      </w:pPr>
      <w:r>
        <w:t xml:space="preserve">9.1 Regulatory Requirements</w:t>
      </w:r>
    </w:p>
    <w:p>
      <w:pPr>
        <w:pStyle w:val="FirstParagraph"/>
      </w:pPr>
      <w:r>
        <w:t xml:space="preserve">This policy supports compliance with: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GDPR:</w:t>
      </w:r>
      <w:r>
        <w:t xml:space="preserve"> </w:t>
      </w:r>
      <w:r>
        <w:t xml:space="preserve">Data classification and protection requirements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HIPAA:</w:t>
      </w:r>
      <w:r>
        <w:t xml:space="preserve"> </w:t>
      </w:r>
      <w:r>
        <w:t xml:space="preserve">PHI classification and protection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PCI-DSS:</w:t>
      </w:r>
      <w:r>
        <w:t xml:space="preserve"> </w:t>
      </w:r>
      <w:r>
        <w:t xml:space="preserve">Cardholder data classification and protection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CCPA:</w:t>
      </w:r>
      <w:r>
        <w:t xml:space="preserve"> </w:t>
      </w:r>
      <w:r>
        <w:t xml:space="preserve">Personal information classification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SOC 2:</w:t>
      </w:r>
      <w:r>
        <w:t xml:space="preserve"> </w:t>
      </w:r>
      <w:r>
        <w:t xml:space="preserve">Confidentiality criteria</w:t>
      </w:r>
    </w:p>
    <w:bookmarkEnd w:id="38"/>
    <w:bookmarkStart w:id="39" w:name="audit-and-monitoring"/>
    <w:p>
      <w:pPr>
        <w:pStyle w:val="Heading3"/>
      </w:pPr>
      <w:r>
        <w:t xml:space="preserve">9.2 Audit and Monitoring</w:t>
      </w:r>
    </w:p>
    <w:p>
      <w:pPr>
        <w:pStyle w:val="Compact"/>
        <w:numPr>
          <w:ilvl w:val="0"/>
          <w:numId w:val="1015"/>
        </w:numPr>
      </w:pPr>
      <w:r>
        <w:t xml:space="preserve">Regular audits of data classification</w:t>
      </w:r>
    </w:p>
    <w:p>
      <w:pPr>
        <w:pStyle w:val="Compact"/>
        <w:numPr>
          <w:ilvl w:val="0"/>
          <w:numId w:val="1015"/>
        </w:numPr>
      </w:pPr>
      <w:r>
        <w:t xml:space="preserve">Monitoring of data access and handling</w:t>
      </w:r>
    </w:p>
    <w:p>
      <w:pPr>
        <w:pStyle w:val="Compact"/>
        <w:numPr>
          <w:ilvl w:val="0"/>
          <w:numId w:val="1015"/>
        </w:numPr>
      </w:pPr>
      <w:r>
        <w:t xml:space="preserve">Review of classification decisions</w:t>
      </w:r>
    </w:p>
    <w:p>
      <w:pPr>
        <w:pStyle w:val="Compact"/>
        <w:numPr>
          <w:ilvl w:val="0"/>
          <w:numId w:val="1015"/>
        </w:numPr>
      </w:pPr>
      <w:r>
        <w:t xml:space="preserve">Assessment of policy effectiveness</w:t>
      </w:r>
    </w:p>
    <w:bookmarkEnd w:id="39"/>
    <w:bookmarkEnd w:id="40"/>
    <w:bookmarkStart w:id="41" w:name="policy-violations"/>
    <w:p>
      <w:pPr>
        <w:pStyle w:val="Heading2"/>
      </w:pPr>
      <w:r>
        <w:t xml:space="preserve">10. Policy Violations</w:t>
      </w:r>
    </w:p>
    <w:p>
      <w:pPr>
        <w:pStyle w:val="FirstParagraph"/>
      </w:pPr>
      <w:r>
        <w:t xml:space="preserve">Non-compliance with this policy may result in:</w:t>
      </w:r>
      <w:r>
        <w:t xml:space="preserve"> </w:t>
      </w:r>
      <w:r>
        <w:t xml:space="preserve">- Mandatory refresher training</w:t>
      </w:r>
      <w:r>
        <w:t xml:space="preserve"> </w:t>
      </w:r>
      <w:r>
        <w:t xml:space="preserve">- Written warnings</w:t>
      </w:r>
      <w:r>
        <w:t xml:space="preserve"> </w:t>
      </w:r>
      <w:r>
        <w:t xml:space="preserve">- Suspension of access privileges</w:t>
      </w:r>
      <w:r>
        <w:t xml:space="preserve"> </w:t>
      </w:r>
      <w:r>
        <w:t xml:space="preserve">- Termination of employment</w:t>
      </w:r>
      <w:r>
        <w:t xml:space="preserve"> </w:t>
      </w:r>
      <w:r>
        <w:t xml:space="preserve">- Legal consequences if violations involve illegal activities</w:t>
      </w:r>
    </w:p>
    <w:bookmarkEnd w:id="41"/>
    <w:bookmarkStart w:id="42" w:name="related-policies"/>
    <w:p>
      <w:pPr>
        <w:pStyle w:val="Heading2"/>
      </w:pPr>
      <w:r>
        <w:t xml:space="preserve">11. Related Policies</w:t>
      </w:r>
    </w:p>
    <w:p>
      <w:pPr>
        <w:pStyle w:val="Compact"/>
        <w:numPr>
          <w:ilvl w:val="0"/>
          <w:numId w:val="1016"/>
        </w:numPr>
      </w:pPr>
      <w:r>
        <w:t xml:space="preserve">Acceptable Use Policy</w:t>
      </w:r>
    </w:p>
    <w:p>
      <w:pPr>
        <w:pStyle w:val="Compact"/>
        <w:numPr>
          <w:ilvl w:val="0"/>
          <w:numId w:val="1016"/>
        </w:numPr>
      </w:pPr>
      <w:r>
        <w:t xml:space="preserve">Access Control Policy</w:t>
      </w:r>
    </w:p>
    <w:p>
      <w:pPr>
        <w:pStyle w:val="Compact"/>
        <w:numPr>
          <w:ilvl w:val="0"/>
          <w:numId w:val="1016"/>
        </w:numPr>
      </w:pPr>
      <w:r>
        <w:t xml:space="preserve">Information Security Policy</w:t>
      </w:r>
    </w:p>
    <w:p>
      <w:pPr>
        <w:pStyle w:val="Compact"/>
        <w:numPr>
          <w:ilvl w:val="0"/>
          <w:numId w:val="1016"/>
        </w:numPr>
      </w:pPr>
      <w:r>
        <w:t xml:space="preserve">Privacy Management Policy</w:t>
      </w:r>
    </w:p>
    <w:p>
      <w:pPr>
        <w:pStyle w:val="Compact"/>
        <w:numPr>
          <w:ilvl w:val="0"/>
          <w:numId w:val="1016"/>
        </w:numPr>
      </w:pPr>
      <w:r>
        <w:t xml:space="preserve">Incident Response Policy</w:t>
      </w:r>
    </w:p>
    <w:p>
      <w:pPr>
        <w:pStyle w:val="Compact"/>
        <w:numPr>
          <w:ilvl w:val="0"/>
          <w:numId w:val="1016"/>
        </w:numPr>
      </w:pPr>
      <w:r>
        <w:t xml:space="preserve">Data Solution Design Policy - Section 8: Security and Access Control</w:t>
      </w:r>
    </w:p>
    <w:bookmarkEnd w:id="42"/>
    <w:bookmarkStart w:id="43" w:name="review-cycle"/>
    <w:p>
      <w:pPr>
        <w:pStyle w:val="Heading2"/>
      </w:pPr>
      <w:r>
        <w:t xml:space="preserve">12. Review Cycle</w:t>
      </w:r>
    </w:p>
    <w:p>
      <w:pPr>
        <w:pStyle w:val="FirstParagraph"/>
      </w:pPr>
      <w:r>
        <w:t xml:space="preserve">This policy is reviewed annually or following:</w:t>
      </w:r>
      <w:r>
        <w:t xml:space="preserve"> </w:t>
      </w:r>
      <w:r>
        <w:t xml:space="preserve">- Major organizational changes</w:t>
      </w:r>
      <w:r>
        <w:t xml:space="preserve"> </w:t>
      </w:r>
      <w:r>
        <w:t xml:space="preserve">- Regulatory changes</w:t>
      </w:r>
      <w:r>
        <w:t xml:space="preserve"> </w:t>
      </w:r>
      <w:r>
        <w:t xml:space="preserve">- Security incidents</w:t>
      </w:r>
      <w:r>
        <w:t xml:space="preserve"> </w:t>
      </w:r>
      <w:r>
        <w:t xml:space="preserve">- Technology changes affecting data handling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Control: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Last Updated:</w:t>
      </w:r>
      <w:r>
        <w:t xml:space="preserve"> </w:t>
      </w:r>
      <w:r>
        <w:t xml:space="preserve">December 2025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Next Review:</w:t>
      </w:r>
      <w:r>
        <w:t xml:space="preserve"> </w:t>
      </w:r>
      <w:r>
        <w:t xml:space="preserve">December 2026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Approved By:</w:t>
      </w:r>
      <w:r>
        <w:t xml:space="preserve"> </w:t>
      </w:r>
      <w:r>
        <w:t xml:space="preserve">[To be completed]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Distribution:</w:t>
      </w:r>
      <w:r>
        <w:t xml:space="preserve"> </w:t>
      </w:r>
      <w:r>
        <w:t xml:space="preserve">All employees and contractors</w:t>
      </w:r>
    </w:p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2025-12-02T21:00:29Z</dcterms:created>
  <dcterms:modified xsi:type="dcterms:W3CDTF">2025-12-02T21:00:29Z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